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60D" w:rsidRDefault="00F6160D" w:rsidP="00F6160D">
      <w:pPr>
        <w:jc w:val="center"/>
        <w:rPr>
          <w:rFonts w:ascii="Tahoma" w:hAnsi="Tahoma"/>
          <w:b/>
          <w:bCs/>
          <w:sz w:val="36"/>
          <w:szCs w:val="36"/>
        </w:rPr>
      </w:pPr>
      <w:r>
        <w:rPr>
          <w:rFonts w:ascii="Tahoma" w:hAnsi="Tahoma"/>
          <w:b/>
          <w:bCs/>
          <w:sz w:val="32"/>
          <w:szCs w:val="32"/>
        </w:rPr>
        <w:t>Народна банка на Република Македонија</w:t>
      </w:r>
    </w:p>
    <w:p w:rsidR="00F6160D" w:rsidRDefault="00F6160D" w:rsidP="00F6160D">
      <w:pPr>
        <w:jc w:val="center"/>
        <w:rPr>
          <w:rFonts w:ascii="Tahoma" w:hAnsi="Tahoma"/>
          <w:sz w:val="20"/>
          <w:szCs w:val="20"/>
        </w:rPr>
      </w:pPr>
      <w:r>
        <w:rPr>
          <w:rFonts w:ascii="Tahoma" w:hAnsi="Tahoma"/>
          <w:sz w:val="20"/>
          <w:szCs w:val="20"/>
        </w:rPr>
        <w:t xml:space="preserve">ДИРЕКЦИЈА ЗА </w:t>
      </w:r>
      <w:r w:rsidR="00776D46">
        <w:rPr>
          <w:rFonts w:ascii="Tahoma" w:hAnsi="Tahoma"/>
          <w:sz w:val="20"/>
          <w:szCs w:val="20"/>
        </w:rPr>
        <w:t xml:space="preserve">МОНЕТАРНА ПОЛИТИКА И </w:t>
      </w:r>
      <w:r>
        <w:rPr>
          <w:rFonts w:ascii="Tahoma" w:hAnsi="Tahoma"/>
          <w:sz w:val="20"/>
          <w:szCs w:val="20"/>
        </w:rPr>
        <w:t>ИСТРАЖУВАЊЕ</w:t>
      </w: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5D7635" w:rsidP="00F6160D">
      <w:pPr>
        <w:jc w:val="center"/>
        <w:rPr>
          <w:rFonts w:ascii="Tahoma" w:hAnsi="Tahoma"/>
          <w:sz w:val="20"/>
          <w:szCs w:val="20"/>
          <w:highlight w:val="cyan"/>
        </w:rPr>
      </w:pPr>
      <w:r>
        <w:rPr>
          <w:rFonts w:ascii="Tahoma" w:hAnsi="Tahoma"/>
          <w:b/>
          <w:noProof/>
          <w:sz w:val="20"/>
          <w:szCs w:val="20"/>
          <w:lang w:val="en-US"/>
        </w:rPr>
        <w:drawing>
          <wp:inline distT="0" distB="0" distL="0" distR="0">
            <wp:extent cx="1438275" cy="15906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438275" cy="1590675"/>
                    </a:xfrm>
                    <a:prstGeom prst="rect">
                      <a:avLst/>
                    </a:prstGeom>
                    <a:noFill/>
                    <a:ln w="9525">
                      <a:noFill/>
                      <a:miter lim="800000"/>
                      <a:headEnd/>
                      <a:tailEnd/>
                    </a:ln>
                  </pic:spPr>
                </pic:pic>
              </a:graphicData>
            </a:graphic>
          </wp:inline>
        </w:drawing>
      </w:r>
    </w:p>
    <w:p w:rsidR="00F6160D" w:rsidRDefault="00F6160D" w:rsidP="00F6160D">
      <w:pPr>
        <w:ind w:left="720"/>
        <w:jc w:val="both"/>
        <w:rPr>
          <w:rFonts w:ascii="Tahoma" w:hAnsi="Tahoma"/>
          <w:sz w:val="24"/>
          <w:highlight w:val="cyan"/>
        </w:rPr>
      </w:pPr>
    </w:p>
    <w:p w:rsidR="00F6160D" w:rsidRDefault="00F6160D" w:rsidP="00F6160D">
      <w:pPr>
        <w:jc w:val="center"/>
        <w:rPr>
          <w:rFonts w:ascii="Tahoma" w:hAnsi="Tahoma"/>
          <w:sz w:val="24"/>
        </w:rPr>
      </w:pPr>
    </w:p>
    <w:p w:rsidR="00975A90" w:rsidRDefault="00975A90" w:rsidP="000C3BF6">
      <w:pPr>
        <w:ind w:right="-436"/>
        <w:jc w:val="center"/>
        <w:rPr>
          <w:rFonts w:ascii="Tahoma" w:hAnsi="Tahoma"/>
          <w:b/>
          <w:color w:val="17365D"/>
          <w:sz w:val="24"/>
        </w:rPr>
      </w:pPr>
    </w:p>
    <w:p w:rsidR="00975A90" w:rsidRDefault="00975A90" w:rsidP="000C3BF6">
      <w:pPr>
        <w:ind w:right="-436"/>
        <w:jc w:val="center"/>
        <w:rPr>
          <w:rFonts w:ascii="Tahoma" w:hAnsi="Tahoma"/>
          <w:b/>
          <w:color w:val="17365D"/>
          <w:sz w:val="24"/>
        </w:rPr>
      </w:pPr>
    </w:p>
    <w:p w:rsidR="00975A90" w:rsidRDefault="00975A90" w:rsidP="000C3BF6">
      <w:pPr>
        <w:ind w:right="-436"/>
        <w:jc w:val="center"/>
        <w:rPr>
          <w:rFonts w:ascii="Tahoma" w:hAnsi="Tahoma"/>
          <w:b/>
          <w:color w:val="17365D"/>
          <w:sz w:val="24"/>
        </w:rPr>
      </w:pPr>
    </w:p>
    <w:p w:rsidR="00975A90" w:rsidRDefault="00975A90" w:rsidP="000C3BF6">
      <w:pPr>
        <w:ind w:right="-436"/>
        <w:jc w:val="center"/>
        <w:rPr>
          <w:rFonts w:ascii="Tahoma" w:hAnsi="Tahoma"/>
          <w:b/>
          <w:color w:val="17365D"/>
          <w:sz w:val="24"/>
        </w:rPr>
      </w:pPr>
    </w:p>
    <w:p w:rsidR="00975A90" w:rsidRDefault="00975A90" w:rsidP="000C3BF6">
      <w:pPr>
        <w:ind w:right="-436"/>
        <w:jc w:val="center"/>
        <w:rPr>
          <w:rFonts w:ascii="Tahoma" w:hAnsi="Tahoma"/>
          <w:b/>
          <w:color w:val="17365D"/>
          <w:sz w:val="24"/>
        </w:rPr>
      </w:pPr>
    </w:p>
    <w:p w:rsidR="000C3BF6" w:rsidRDefault="00DB7D88" w:rsidP="00DB7D88">
      <w:pPr>
        <w:tabs>
          <w:tab w:val="center" w:pos="4962"/>
        </w:tabs>
        <w:ind w:right="-436"/>
        <w:rPr>
          <w:rFonts w:ascii="Tahoma" w:hAnsi="Tahoma"/>
          <w:b/>
          <w:color w:val="17365D"/>
          <w:sz w:val="24"/>
        </w:rPr>
      </w:pPr>
      <w:r>
        <w:rPr>
          <w:rFonts w:ascii="Tahoma" w:hAnsi="Tahoma"/>
          <w:b/>
          <w:color w:val="17365D"/>
          <w:sz w:val="24"/>
        </w:rPr>
        <w:tab/>
      </w:r>
      <w:r w:rsidR="000C3BF6">
        <w:rPr>
          <w:rFonts w:ascii="Tahoma" w:hAnsi="Tahoma"/>
          <w:b/>
          <w:color w:val="17365D"/>
          <w:sz w:val="24"/>
        </w:rPr>
        <w:t>Н</w:t>
      </w:r>
      <w:r w:rsidR="000C3BF6" w:rsidRPr="00F259B5">
        <w:rPr>
          <w:rFonts w:ascii="Tahoma" w:hAnsi="Tahoma"/>
          <w:b/>
          <w:color w:val="17365D"/>
          <w:sz w:val="24"/>
        </w:rPr>
        <w:t xml:space="preserve">ајнови макроекономски </w:t>
      </w:r>
      <w:r w:rsidR="00496C90">
        <w:rPr>
          <w:rFonts w:ascii="Tahoma" w:hAnsi="Tahoma"/>
          <w:b/>
          <w:color w:val="17365D"/>
          <w:sz w:val="24"/>
        </w:rPr>
        <w:t>показатели</w:t>
      </w:r>
    </w:p>
    <w:p w:rsidR="000C3BF6" w:rsidRPr="00F259B5" w:rsidRDefault="00DB7D88" w:rsidP="00DB7D88">
      <w:pPr>
        <w:tabs>
          <w:tab w:val="center" w:pos="4962"/>
        </w:tabs>
        <w:rPr>
          <w:rFonts w:ascii="Tahoma" w:hAnsi="Tahoma"/>
          <w:b/>
          <w:color w:val="17365D"/>
          <w:sz w:val="24"/>
        </w:rPr>
      </w:pPr>
      <w:r>
        <w:rPr>
          <w:rFonts w:ascii="Tahoma" w:hAnsi="Tahoma"/>
          <w:b/>
          <w:color w:val="17365D"/>
          <w:sz w:val="24"/>
        </w:rPr>
        <w:tab/>
      </w:r>
      <w:r w:rsidR="000C3BF6">
        <w:rPr>
          <w:rFonts w:ascii="Tahoma" w:hAnsi="Tahoma"/>
          <w:b/>
          <w:color w:val="17365D"/>
          <w:sz w:val="24"/>
        </w:rPr>
        <w:t>Преглед на тековната состојба</w:t>
      </w:r>
    </w:p>
    <w:p w:rsidR="00F6160D" w:rsidRDefault="00F6160D" w:rsidP="00F6160D">
      <w:pPr>
        <w:jc w:val="center"/>
        <w:rPr>
          <w:rFonts w:ascii="Tahoma" w:hAnsi="Tahoma"/>
          <w:b/>
          <w:bCs/>
          <w:sz w:val="36"/>
          <w:szCs w:val="36"/>
        </w:rPr>
      </w:pPr>
    </w:p>
    <w:p w:rsidR="00F6160D" w:rsidRDefault="00F6160D" w:rsidP="00F6160D">
      <w:pPr>
        <w:jc w:val="center"/>
        <w:rPr>
          <w:rFonts w:ascii="Tahoma" w:hAnsi="Tahoma"/>
          <w:b/>
          <w:bCs/>
          <w:sz w:val="36"/>
          <w:szCs w:val="36"/>
        </w:rPr>
      </w:pPr>
    </w:p>
    <w:p w:rsidR="00F6160D" w:rsidRDefault="00F6160D" w:rsidP="00F6160D">
      <w:pPr>
        <w:jc w:val="center"/>
        <w:rPr>
          <w:rFonts w:ascii="Tahoma" w:hAnsi="Tahoma"/>
          <w:sz w:val="20"/>
          <w:szCs w:val="20"/>
        </w:rPr>
      </w:pPr>
    </w:p>
    <w:p w:rsidR="00F6160D" w:rsidRPr="00C30C71" w:rsidRDefault="00F6160D" w:rsidP="00F6160D">
      <w:pPr>
        <w:jc w:val="center"/>
        <w:rPr>
          <w:rFonts w:ascii="Tahoma" w:hAnsi="Tahoma"/>
          <w:sz w:val="20"/>
          <w:szCs w:val="20"/>
        </w:rPr>
      </w:pPr>
    </w:p>
    <w:p w:rsidR="00F6160D" w:rsidRPr="00214780"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Pr="00C30C71"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Pr="00214780" w:rsidRDefault="00F6160D" w:rsidP="00F6160D">
      <w:pPr>
        <w:jc w:val="center"/>
        <w:rPr>
          <w:rFonts w:ascii="Tahoma" w:hAnsi="Tahoma"/>
          <w:sz w:val="20"/>
          <w:szCs w:val="20"/>
        </w:rPr>
      </w:pPr>
    </w:p>
    <w:p w:rsidR="00F6160D" w:rsidRPr="00214780" w:rsidRDefault="00F6160D" w:rsidP="00F6160D">
      <w:pPr>
        <w:jc w:val="center"/>
        <w:rPr>
          <w:rFonts w:ascii="Tahoma" w:hAnsi="Tahoma"/>
          <w:sz w:val="20"/>
          <w:szCs w:val="20"/>
        </w:rPr>
      </w:pPr>
    </w:p>
    <w:p w:rsidR="00F6160D" w:rsidRPr="00214780"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F6160D" w:rsidRDefault="00F6160D" w:rsidP="00F6160D">
      <w:pPr>
        <w:jc w:val="center"/>
        <w:rPr>
          <w:rFonts w:ascii="Tahoma" w:hAnsi="Tahoma"/>
          <w:sz w:val="20"/>
          <w:szCs w:val="20"/>
        </w:rPr>
      </w:pPr>
    </w:p>
    <w:p w:rsidR="00975A90" w:rsidRDefault="00975A90" w:rsidP="00F6160D">
      <w:pPr>
        <w:jc w:val="center"/>
        <w:rPr>
          <w:rFonts w:ascii="Tahoma" w:hAnsi="Tahoma"/>
          <w:sz w:val="20"/>
          <w:szCs w:val="20"/>
        </w:rPr>
      </w:pPr>
    </w:p>
    <w:p w:rsidR="00975A90" w:rsidRDefault="00975A90" w:rsidP="00F6160D">
      <w:pPr>
        <w:jc w:val="center"/>
        <w:rPr>
          <w:rFonts w:ascii="Tahoma" w:hAnsi="Tahoma"/>
          <w:sz w:val="20"/>
          <w:szCs w:val="20"/>
        </w:rPr>
      </w:pPr>
    </w:p>
    <w:p w:rsidR="00975A90" w:rsidRDefault="00975A90" w:rsidP="00F6160D">
      <w:pPr>
        <w:jc w:val="center"/>
        <w:rPr>
          <w:rFonts w:ascii="Tahoma" w:hAnsi="Tahoma"/>
          <w:sz w:val="20"/>
          <w:szCs w:val="20"/>
        </w:rPr>
      </w:pPr>
    </w:p>
    <w:p w:rsidR="00975A90" w:rsidRDefault="00975A90" w:rsidP="00F6160D">
      <w:pPr>
        <w:jc w:val="center"/>
        <w:rPr>
          <w:rFonts w:ascii="Tahoma" w:hAnsi="Tahoma"/>
          <w:sz w:val="20"/>
          <w:szCs w:val="20"/>
        </w:rPr>
      </w:pPr>
    </w:p>
    <w:p w:rsidR="00F6160D" w:rsidRPr="00A55768" w:rsidRDefault="00CD7CD8" w:rsidP="003356AE">
      <w:pPr>
        <w:jc w:val="center"/>
      </w:pPr>
      <w:r>
        <w:rPr>
          <w:rFonts w:ascii="Tahoma" w:hAnsi="Tahoma"/>
          <w:sz w:val="20"/>
          <w:szCs w:val="20"/>
        </w:rPr>
        <w:t>а</w:t>
      </w:r>
      <w:r w:rsidR="00A26B71">
        <w:rPr>
          <w:rFonts w:ascii="Tahoma" w:hAnsi="Tahoma"/>
          <w:sz w:val="20"/>
          <w:szCs w:val="20"/>
        </w:rPr>
        <w:t>вгуст</w:t>
      </w:r>
      <w:r w:rsidR="00394344">
        <w:rPr>
          <w:rFonts w:ascii="Tahoma" w:hAnsi="Tahoma"/>
          <w:sz w:val="20"/>
          <w:szCs w:val="20"/>
        </w:rPr>
        <w:t xml:space="preserve"> </w:t>
      </w:r>
      <w:r w:rsidR="00F6160D">
        <w:rPr>
          <w:rFonts w:ascii="Tahoma" w:hAnsi="Tahoma"/>
          <w:sz w:val="20"/>
          <w:szCs w:val="20"/>
        </w:rPr>
        <w:t>201</w:t>
      </w:r>
      <w:r w:rsidR="00A26B71">
        <w:rPr>
          <w:rFonts w:ascii="Tahoma" w:hAnsi="Tahoma"/>
          <w:sz w:val="20"/>
          <w:szCs w:val="20"/>
        </w:rPr>
        <w:t>4</w:t>
      </w:r>
      <w:r w:rsidR="00F6160D">
        <w:rPr>
          <w:rFonts w:ascii="Tahoma" w:hAnsi="Tahoma"/>
          <w:sz w:val="20"/>
          <w:szCs w:val="20"/>
        </w:rPr>
        <w:t xml:space="preserve"> година</w:t>
      </w:r>
    </w:p>
    <w:p w:rsidR="00F6160D" w:rsidRPr="003841E5" w:rsidRDefault="00F6160D" w:rsidP="00152567">
      <w:pPr>
        <w:ind w:right="-436"/>
        <w:jc w:val="center"/>
        <w:rPr>
          <w:rFonts w:ascii="Tahoma" w:hAnsi="Tahoma"/>
          <w:b/>
          <w:color w:val="17365D"/>
          <w:sz w:val="24"/>
        </w:rPr>
      </w:pPr>
    </w:p>
    <w:p w:rsidR="00F6160D" w:rsidRPr="003841E5" w:rsidRDefault="00F6160D" w:rsidP="00152567">
      <w:pPr>
        <w:ind w:right="-436"/>
        <w:jc w:val="center"/>
        <w:rPr>
          <w:rFonts w:ascii="Tahoma" w:hAnsi="Tahoma"/>
          <w:b/>
          <w:color w:val="17365D"/>
          <w:sz w:val="24"/>
        </w:rPr>
      </w:pPr>
    </w:p>
    <w:p w:rsidR="0035571E" w:rsidRDefault="0035571E" w:rsidP="0035571E">
      <w:pPr>
        <w:ind w:right="-12"/>
        <w:jc w:val="center"/>
        <w:rPr>
          <w:rFonts w:ascii="Tahoma" w:hAnsi="Tahoma"/>
          <w:b/>
          <w:color w:val="17365D"/>
          <w:szCs w:val="22"/>
        </w:rPr>
      </w:pPr>
    </w:p>
    <w:p w:rsidR="0035571E" w:rsidRPr="00901EDA" w:rsidRDefault="0035571E" w:rsidP="0035571E">
      <w:pPr>
        <w:ind w:right="-12"/>
        <w:jc w:val="center"/>
        <w:rPr>
          <w:rFonts w:ascii="Tahoma" w:hAnsi="Tahoma"/>
          <w:b/>
          <w:color w:val="17365D"/>
          <w:szCs w:val="22"/>
        </w:rPr>
      </w:pPr>
      <w:r w:rsidRPr="00901EDA">
        <w:rPr>
          <w:rFonts w:ascii="Tahoma" w:hAnsi="Tahoma"/>
          <w:b/>
          <w:color w:val="17365D"/>
          <w:szCs w:val="22"/>
        </w:rPr>
        <w:lastRenderedPageBreak/>
        <w:t>Најнови макроекономски индикатори</w:t>
      </w:r>
    </w:p>
    <w:p w:rsidR="0035571E" w:rsidRPr="00901EDA" w:rsidRDefault="0035571E" w:rsidP="0035571E">
      <w:pPr>
        <w:ind w:right="-12"/>
        <w:jc w:val="center"/>
        <w:rPr>
          <w:rFonts w:ascii="Tahoma" w:hAnsi="Tahoma"/>
          <w:b/>
          <w:color w:val="17365D"/>
          <w:szCs w:val="22"/>
        </w:rPr>
      </w:pPr>
      <w:r w:rsidRPr="00901EDA">
        <w:rPr>
          <w:rFonts w:ascii="Tahoma" w:hAnsi="Tahoma"/>
          <w:b/>
          <w:color w:val="17365D"/>
          <w:szCs w:val="22"/>
        </w:rPr>
        <w:t xml:space="preserve">Преглед на тековната состојба - </w:t>
      </w:r>
      <w:r w:rsidR="00CD7CD8">
        <w:rPr>
          <w:rFonts w:ascii="Tahoma" w:hAnsi="Tahoma"/>
          <w:b/>
          <w:color w:val="17365D"/>
          <w:szCs w:val="22"/>
        </w:rPr>
        <w:t>влијанија</w:t>
      </w:r>
      <w:r w:rsidR="00CD7CD8" w:rsidRPr="00901EDA">
        <w:rPr>
          <w:rFonts w:ascii="Tahoma" w:hAnsi="Tahoma"/>
          <w:b/>
          <w:color w:val="17365D"/>
          <w:szCs w:val="22"/>
        </w:rPr>
        <w:t xml:space="preserve"> </w:t>
      </w:r>
      <w:r w:rsidRPr="00901EDA">
        <w:rPr>
          <w:rFonts w:ascii="Tahoma" w:hAnsi="Tahoma"/>
          <w:b/>
          <w:color w:val="17365D"/>
          <w:szCs w:val="22"/>
        </w:rPr>
        <w:t>за монетарната политика</w:t>
      </w:r>
    </w:p>
    <w:p w:rsidR="0035571E" w:rsidRDefault="0035571E" w:rsidP="00394344">
      <w:pPr>
        <w:ind w:right="-12"/>
        <w:jc w:val="both"/>
        <w:rPr>
          <w:rFonts w:ascii="Tahoma" w:hAnsi="Tahoma"/>
          <w:b/>
          <w:i/>
          <w:color w:val="17365D"/>
        </w:rPr>
      </w:pPr>
    </w:p>
    <w:p w:rsidR="00A26B71" w:rsidRPr="00A26B71" w:rsidRDefault="00A26B71" w:rsidP="00A26B71">
      <w:pPr>
        <w:jc w:val="both"/>
        <w:rPr>
          <w:rFonts w:ascii="Tahoma" w:hAnsi="Tahoma"/>
          <w:b/>
          <w:i/>
          <w:color w:val="17365D"/>
          <w:lang w:val="en-US"/>
        </w:rPr>
      </w:pPr>
      <w:r w:rsidRPr="00A26B71">
        <w:rPr>
          <w:rFonts w:ascii="Tahoma" w:hAnsi="Tahoma"/>
          <w:b/>
          <w:i/>
          <w:color w:val="17365D"/>
        </w:rPr>
        <w:t xml:space="preserve">Прегледот на тековната состојба има за цел да даде осврт на најновите макроекономски податоци (мај – јули 2014 година) и </w:t>
      </w:r>
      <w:r w:rsidR="00CD7CD8">
        <w:rPr>
          <w:rFonts w:ascii="Tahoma" w:hAnsi="Tahoma"/>
          <w:b/>
          <w:i/>
          <w:color w:val="17365D"/>
        </w:rPr>
        <w:t xml:space="preserve">да </w:t>
      </w:r>
      <w:r w:rsidR="001D6744">
        <w:rPr>
          <w:rFonts w:ascii="Tahoma" w:hAnsi="Tahoma"/>
          <w:b/>
          <w:i/>
          <w:color w:val="17365D"/>
        </w:rPr>
        <w:t xml:space="preserve">направи </w:t>
      </w:r>
      <w:r w:rsidRPr="00A26B71">
        <w:rPr>
          <w:rFonts w:ascii="Tahoma" w:hAnsi="Tahoma"/>
          <w:b/>
          <w:i/>
          <w:color w:val="17365D"/>
        </w:rPr>
        <w:t xml:space="preserve">споредба со последните макроекономски проекции (април 2014 година). Со тоа ќе се утврди колку тековната состојба во економијата соодветствува со очекуваните движења на варијаблите во претходниот циклус на проекции. Прегледот е фокусиран на промените на екстерните претпоставки и остварувањата кај домашните варијабли и на тоа како се одразуваат </w:t>
      </w:r>
      <w:r w:rsidR="001F022A" w:rsidRPr="00A26B71">
        <w:rPr>
          <w:rFonts w:ascii="Tahoma" w:hAnsi="Tahoma"/>
          <w:b/>
          <w:i/>
          <w:color w:val="17365D"/>
        </w:rPr>
        <w:t xml:space="preserve">овие промени </w:t>
      </w:r>
      <w:r w:rsidRPr="00A26B71">
        <w:rPr>
          <w:rFonts w:ascii="Tahoma" w:hAnsi="Tahoma"/>
          <w:b/>
          <w:i/>
          <w:color w:val="17365D"/>
        </w:rPr>
        <w:t xml:space="preserve">врз амбиентот за водење на монетарната политика. </w:t>
      </w:r>
    </w:p>
    <w:p w:rsidR="00A26B71" w:rsidRPr="00A26B71" w:rsidRDefault="00A26B71" w:rsidP="00A26B71">
      <w:pPr>
        <w:jc w:val="both"/>
        <w:rPr>
          <w:rFonts w:ascii="Tahoma" w:hAnsi="Tahoma"/>
        </w:rPr>
      </w:pPr>
      <w:r w:rsidRPr="00A26B71">
        <w:rPr>
          <w:rFonts w:ascii="Tahoma" w:hAnsi="Tahoma"/>
          <w:b/>
          <w:i/>
          <w:color w:val="17365D"/>
          <w:lang w:val="en-US"/>
        </w:rPr>
        <w:br/>
      </w:r>
      <w:r w:rsidRPr="00A26B71">
        <w:rPr>
          <w:rFonts w:ascii="Tahoma" w:hAnsi="Tahoma"/>
          <w:b/>
          <w:bCs/>
        </w:rPr>
        <w:t>Глобалното економско окружување не претрпе поголеми промени споредено со последните оцени</w:t>
      </w:r>
      <w:r w:rsidR="008C0C8B">
        <w:rPr>
          <w:rFonts w:ascii="Tahoma" w:hAnsi="Tahoma"/>
          <w:b/>
          <w:bCs/>
        </w:rPr>
        <w:t xml:space="preserve">. </w:t>
      </w:r>
      <w:r w:rsidR="00776D46">
        <w:rPr>
          <w:rFonts w:ascii="Tahoma" w:hAnsi="Tahoma"/>
          <w:bCs/>
        </w:rPr>
        <w:t xml:space="preserve">Последните движења на </w:t>
      </w:r>
      <w:r w:rsidRPr="00A26B71">
        <w:rPr>
          <w:rFonts w:ascii="Tahoma" w:hAnsi="Tahoma"/>
          <w:bCs/>
        </w:rPr>
        <w:t xml:space="preserve">високофреквентните економски индикатори за </w:t>
      </w:r>
      <w:proofErr w:type="spellStart"/>
      <w:r w:rsidRPr="00A26B71">
        <w:rPr>
          <w:rFonts w:ascii="Tahoma" w:hAnsi="Tahoma"/>
          <w:bCs/>
        </w:rPr>
        <w:t>евро</w:t>
      </w:r>
      <w:r w:rsidR="001F022A">
        <w:rPr>
          <w:rFonts w:ascii="Tahoma" w:hAnsi="Tahoma"/>
          <w:bCs/>
        </w:rPr>
        <w:t>-</w:t>
      </w:r>
      <w:r w:rsidRPr="00A26B71">
        <w:rPr>
          <w:rFonts w:ascii="Tahoma" w:hAnsi="Tahoma"/>
          <w:bCs/>
        </w:rPr>
        <w:t>зоната</w:t>
      </w:r>
      <w:proofErr w:type="spellEnd"/>
      <w:r w:rsidRPr="00A26B71">
        <w:rPr>
          <w:rFonts w:ascii="Tahoma" w:hAnsi="Tahoma"/>
          <w:bCs/>
        </w:rPr>
        <w:t xml:space="preserve"> даваат </w:t>
      </w:r>
      <w:r w:rsidRPr="00776D46">
        <w:rPr>
          <w:rFonts w:ascii="Tahoma" w:hAnsi="Tahoma"/>
          <w:bCs/>
        </w:rPr>
        <w:t xml:space="preserve">сигнал за </w:t>
      </w:r>
      <w:r w:rsidR="001F022A">
        <w:rPr>
          <w:rFonts w:ascii="Tahoma" w:hAnsi="Tahoma"/>
          <w:bCs/>
        </w:rPr>
        <w:t>бавно</w:t>
      </w:r>
      <w:r w:rsidR="001F022A" w:rsidRPr="00776D46">
        <w:rPr>
          <w:rFonts w:ascii="Tahoma" w:hAnsi="Tahoma"/>
          <w:bCs/>
        </w:rPr>
        <w:t xml:space="preserve"> </w:t>
      </w:r>
      <w:r w:rsidR="00776D46" w:rsidRPr="00776D46">
        <w:rPr>
          <w:rFonts w:ascii="Tahoma" w:hAnsi="Tahoma"/>
          <w:bCs/>
        </w:rPr>
        <w:t xml:space="preserve">и нерамномерно </w:t>
      </w:r>
      <w:r w:rsidRPr="00776D46">
        <w:rPr>
          <w:rFonts w:ascii="Tahoma" w:hAnsi="Tahoma"/>
          <w:bCs/>
        </w:rPr>
        <w:t xml:space="preserve">економско закрепнување и во текот на вториот квартал на 2014 година. </w:t>
      </w:r>
      <w:r w:rsidR="008E5F77">
        <w:rPr>
          <w:rFonts w:ascii="Tahoma" w:hAnsi="Tahoma"/>
          <w:bCs/>
        </w:rPr>
        <w:t>ЕЦБ и понатаму ги</w:t>
      </w:r>
      <w:r w:rsidR="00A64392">
        <w:rPr>
          <w:rFonts w:ascii="Tahoma" w:hAnsi="Tahoma"/>
          <w:bCs/>
        </w:rPr>
        <w:t xml:space="preserve"> оценува </w:t>
      </w:r>
      <w:r w:rsidR="001F022A">
        <w:rPr>
          <w:rFonts w:ascii="Tahoma" w:hAnsi="Tahoma"/>
          <w:bCs/>
        </w:rPr>
        <w:t xml:space="preserve">ризиците околу идните економски изгледи </w:t>
      </w:r>
      <w:r w:rsidR="00A64392">
        <w:rPr>
          <w:rFonts w:ascii="Tahoma" w:hAnsi="Tahoma"/>
          <w:bCs/>
        </w:rPr>
        <w:t xml:space="preserve">како претежно надолни. </w:t>
      </w:r>
      <w:r w:rsidR="001F022A">
        <w:rPr>
          <w:rFonts w:ascii="Tahoma" w:hAnsi="Tahoma"/>
          <w:bCs/>
        </w:rPr>
        <w:t>Првичните</w:t>
      </w:r>
      <w:r w:rsidR="001F022A" w:rsidRPr="00A26B71">
        <w:rPr>
          <w:rFonts w:ascii="Tahoma" w:hAnsi="Tahoma"/>
          <w:bCs/>
        </w:rPr>
        <w:t xml:space="preserve"> </w:t>
      </w:r>
      <w:r w:rsidRPr="00A26B71">
        <w:rPr>
          <w:rFonts w:ascii="Tahoma" w:hAnsi="Tahoma"/>
          <w:bCs/>
        </w:rPr>
        <w:t xml:space="preserve">податоци за инфлацијата за јули дополнително го потенцираат отсуството на </w:t>
      </w:r>
      <w:proofErr w:type="spellStart"/>
      <w:r w:rsidRPr="00A26B71">
        <w:rPr>
          <w:rFonts w:ascii="Tahoma" w:hAnsi="Tahoma"/>
          <w:bCs/>
        </w:rPr>
        <w:t>ценовни</w:t>
      </w:r>
      <w:proofErr w:type="spellEnd"/>
      <w:r w:rsidRPr="00A26B71">
        <w:rPr>
          <w:rFonts w:ascii="Tahoma" w:hAnsi="Tahoma"/>
          <w:bCs/>
        </w:rPr>
        <w:t xml:space="preserve"> притисоци во </w:t>
      </w:r>
      <w:proofErr w:type="spellStart"/>
      <w:r w:rsidRPr="00A26B71">
        <w:rPr>
          <w:rFonts w:ascii="Tahoma" w:hAnsi="Tahoma"/>
          <w:bCs/>
        </w:rPr>
        <w:t>евро</w:t>
      </w:r>
      <w:r w:rsidR="001F022A">
        <w:rPr>
          <w:rFonts w:ascii="Tahoma" w:hAnsi="Tahoma"/>
          <w:bCs/>
        </w:rPr>
        <w:t>-</w:t>
      </w:r>
      <w:r w:rsidRPr="00A26B71">
        <w:rPr>
          <w:rFonts w:ascii="Tahoma" w:hAnsi="Tahoma"/>
          <w:bCs/>
        </w:rPr>
        <w:t>зоната</w:t>
      </w:r>
      <w:proofErr w:type="spellEnd"/>
      <w:r w:rsidRPr="00A26B71">
        <w:rPr>
          <w:rFonts w:ascii="Tahoma" w:hAnsi="Tahoma"/>
          <w:bCs/>
        </w:rPr>
        <w:t xml:space="preserve"> и ризикот од дефлација. Годишната инфлација </w:t>
      </w:r>
      <w:r w:rsidR="001F022A">
        <w:rPr>
          <w:rFonts w:ascii="Tahoma" w:hAnsi="Tahoma"/>
          <w:bCs/>
        </w:rPr>
        <w:t>забави</w:t>
      </w:r>
      <w:r w:rsidR="001F022A" w:rsidRPr="00A26B71">
        <w:rPr>
          <w:rFonts w:ascii="Tahoma" w:hAnsi="Tahoma"/>
          <w:bCs/>
        </w:rPr>
        <w:t xml:space="preserve"> </w:t>
      </w:r>
      <w:r w:rsidRPr="00A26B71">
        <w:rPr>
          <w:rFonts w:ascii="Tahoma" w:hAnsi="Tahoma"/>
          <w:bCs/>
        </w:rPr>
        <w:t xml:space="preserve">од 0,5% на 0,4%, главно како последица на надолните притисоци од цените </w:t>
      </w:r>
      <w:r w:rsidR="00E02E73">
        <w:rPr>
          <w:rFonts w:ascii="Tahoma" w:hAnsi="Tahoma"/>
          <w:bCs/>
        </w:rPr>
        <w:t xml:space="preserve">на  енергијата. </w:t>
      </w:r>
      <w:r w:rsidR="00297779">
        <w:rPr>
          <w:rFonts w:ascii="Tahoma" w:hAnsi="Tahoma"/>
          <w:bCs/>
        </w:rPr>
        <w:t>ЕЦБ ги оцен</w:t>
      </w:r>
      <w:r w:rsidR="00A45A75">
        <w:rPr>
          <w:rFonts w:ascii="Tahoma" w:hAnsi="Tahoma"/>
          <w:bCs/>
        </w:rPr>
        <w:t>ува</w:t>
      </w:r>
      <w:r w:rsidR="00297779">
        <w:rPr>
          <w:rFonts w:ascii="Tahoma" w:hAnsi="Tahoma"/>
          <w:bCs/>
        </w:rPr>
        <w:t xml:space="preserve"> р</w:t>
      </w:r>
      <w:r w:rsidR="008E5F77">
        <w:rPr>
          <w:rFonts w:ascii="Tahoma" w:hAnsi="Tahoma"/>
          <w:bCs/>
        </w:rPr>
        <w:t xml:space="preserve">изиците околу идната патека на инфлацијата </w:t>
      </w:r>
      <w:r w:rsidR="008C0C8B">
        <w:rPr>
          <w:rFonts w:ascii="Tahoma" w:hAnsi="Tahoma"/>
          <w:bCs/>
        </w:rPr>
        <w:t xml:space="preserve">како </w:t>
      </w:r>
      <w:proofErr w:type="spellStart"/>
      <w:r w:rsidR="008C0C8B">
        <w:rPr>
          <w:rFonts w:ascii="Tahoma" w:hAnsi="Tahoma"/>
          <w:bCs/>
        </w:rPr>
        <w:t>врамнотежени</w:t>
      </w:r>
      <w:proofErr w:type="spellEnd"/>
      <w:r w:rsidR="008C0C8B">
        <w:rPr>
          <w:rFonts w:ascii="Tahoma" w:hAnsi="Tahoma"/>
          <w:bCs/>
        </w:rPr>
        <w:t xml:space="preserve">. На </w:t>
      </w:r>
      <w:r w:rsidR="008E5F77">
        <w:rPr>
          <w:rFonts w:ascii="Tahoma" w:hAnsi="Tahoma"/>
          <w:bCs/>
        </w:rPr>
        <w:t>сост</w:t>
      </w:r>
      <w:r w:rsidR="008C0C8B">
        <w:rPr>
          <w:rFonts w:ascii="Tahoma" w:hAnsi="Tahoma"/>
          <w:bCs/>
        </w:rPr>
        <w:t xml:space="preserve">анокот </w:t>
      </w:r>
      <w:r w:rsidR="008E5F77">
        <w:rPr>
          <w:rFonts w:ascii="Tahoma" w:hAnsi="Tahoma"/>
          <w:bCs/>
        </w:rPr>
        <w:t xml:space="preserve">во август, ЕЦБ </w:t>
      </w:r>
      <w:r w:rsidR="00297779">
        <w:rPr>
          <w:rFonts w:ascii="Tahoma" w:hAnsi="Tahoma"/>
          <w:bCs/>
        </w:rPr>
        <w:t xml:space="preserve">не ја промени </w:t>
      </w:r>
      <w:r w:rsidR="008E5F77">
        <w:rPr>
          <w:rFonts w:ascii="Tahoma" w:hAnsi="Tahoma"/>
          <w:bCs/>
        </w:rPr>
        <w:t>основната каматна</w:t>
      </w:r>
      <w:r w:rsidR="00976582">
        <w:rPr>
          <w:rFonts w:ascii="Tahoma" w:hAnsi="Tahoma"/>
          <w:bCs/>
        </w:rPr>
        <w:t xml:space="preserve"> стапка</w:t>
      </w:r>
      <w:r w:rsidR="008C0C8B">
        <w:rPr>
          <w:rFonts w:ascii="Tahoma" w:hAnsi="Tahoma"/>
          <w:bCs/>
        </w:rPr>
        <w:t xml:space="preserve">, притоа </w:t>
      </w:r>
      <w:r w:rsidR="00976582" w:rsidRPr="00976582">
        <w:rPr>
          <w:rFonts w:ascii="Tahoma" w:hAnsi="Tahoma"/>
          <w:bCs/>
        </w:rPr>
        <w:t>потенцирајќи</w:t>
      </w:r>
      <w:r w:rsidR="00976582">
        <w:rPr>
          <w:rFonts w:ascii="Tahoma" w:hAnsi="Tahoma"/>
          <w:bCs/>
        </w:rPr>
        <w:t xml:space="preserve"> дека преземените мерки во претходните два месеца ќе о</w:t>
      </w:r>
      <w:r w:rsidR="00976582" w:rsidRPr="00976582">
        <w:rPr>
          <w:rFonts w:ascii="Tahoma" w:hAnsi="Tahoma"/>
          <w:bCs/>
        </w:rPr>
        <w:t>безбедат под</w:t>
      </w:r>
      <w:r w:rsidR="00976582">
        <w:rPr>
          <w:rFonts w:ascii="Tahoma" w:hAnsi="Tahoma"/>
          <w:bCs/>
        </w:rPr>
        <w:t xml:space="preserve">обар пристап </w:t>
      </w:r>
      <w:r w:rsidR="00976582" w:rsidRPr="00976582">
        <w:rPr>
          <w:rFonts w:ascii="Tahoma" w:hAnsi="Tahoma"/>
          <w:bCs/>
        </w:rPr>
        <w:t>н</w:t>
      </w:r>
      <w:r w:rsidR="00976582">
        <w:rPr>
          <w:rFonts w:ascii="Tahoma" w:hAnsi="Tahoma"/>
          <w:bCs/>
        </w:rPr>
        <w:t>а</w:t>
      </w:r>
      <w:r w:rsidR="00976582" w:rsidRPr="00976582">
        <w:rPr>
          <w:rFonts w:ascii="Tahoma" w:hAnsi="Tahoma"/>
          <w:bCs/>
        </w:rPr>
        <w:t xml:space="preserve"> банките до долгорочно финансирање, ќе го поттикнат</w:t>
      </w:r>
      <w:r w:rsidR="00976582">
        <w:rPr>
          <w:rFonts w:ascii="Tahoma" w:hAnsi="Tahoma"/>
          <w:bCs/>
        </w:rPr>
        <w:t xml:space="preserve"> кредитниот </w:t>
      </w:r>
      <w:r w:rsidR="00976582" w:rsidRPr="00976582">
        <w:rPr>
          <w:rFonts w:ascii="Tahoma" w:hAnsi="Tahoma"/>
          <w:bCs/>
        </w:rPr>
        <w:t>р</w:t>
      </w:r>
      <w:r w:rsidR="00976582">
        <w:rPr>
          <w:rFonts w:ascii="Tahoma" w:hAnsi="Tahoma"/>
          <w:bCs/>
        </w:rPr>
        <w:t>а</w:t>
      </w:r>
      <w:r w:rsidR="00976582" w:rsidRPr="00976582">
        <w:rPr>
          <w:rFonts w:ascii="Tahoma" w:hAnsi="Tahoma"/>
          <w:bCs/>
        </w:rPr>
        <w:t xml:space="preserve">ст и ќе обезбедат враќање на инфлацијата </w:t>
      </w:r>
      <w:r w:rsidR="00297779">
        <w:rPr>
          <w:rFonts w:ascii="Tahoma" w:hAnsi="Tahoma"/>
          <w:bCs/>
        </w:rPr>
        <w:t>близу</w:t>
      </w:r>
      <w:r w:rsidR="00976582" w:rsidRPr="00976582">
        <w:rPr>
          <w:rFonts w:ascii="Tahoma" w:hAnsi="Tahoma"/>
          <w:bCs/>
        </w:rPr>
        <w:t xml:space="preserve"> 2%. </w:t>
      </w:r>
      <w:r w:rsidRPr="00976582">
        <w:rPr>
          <w:rFonts w:ascii="Tahoma" w:hAnsi="Tahoma"/>
          <w:bCs/>
        </w:rPr>
        <w:t xml:space="preserve">Во својата комуникација, ЕЦБ повторно ја </w:t>
      </w:r>
      <w:r w:rsidR="00A45A75">
        <w:rPr>
          <w:rFonts w:ascii="Tahoma" w:hAnsi="Tahoma"/>
          <w:bCs/>
        </w:rPr>
        <w:t xml:space="preserve">нагласи </w:t>
      </w:r>
      <w:r w:rsidRPr="00976582">
        <w:rPr>
          <w:rFonts w:ascii="Tahoma" w:hAnsi="Tahoma"/>
          <w:bCs/>
        </w:rPr>
        <w:t xml:space="preserve">подготвеноста за водење </w:t>
      </w:r>
      <w:r w:rsidR="00A45A75">
        <w:rPr>
          <w:rFonts w:ascii="Tahoma" w:hAnsi="Tahoma"/>
          <w:bCs/>
        </w:rPr>
        <w:t>приспособлива</w:t>
      </w:r>
      <w:r w:rsidR="00A45A75" w:rsidRPr="00976582">
        <w:rPr>
          <w:rFonts w:ascii="Tahoma" w:hAnsi="Tahoma"/>
          <w:bCs/>
        </w:rPr>
        <w:t xml:space="preserve"> </w:t>
      </w:r>
      <w:r w:rsidRPr="00976582">
        <w:rPr>
          <w:rFonts w:ascii="Tahoma" w:hAnsi="Tahoma"/>
          <w:bCs/>
        </w:rPr>
        <w:t xml:space="preserve">монетарна политика и преземање дополнителни мерки во случај на </w:t>
      </w:r>
      <w:r w:rsidR="00976582" w:rsidRPr="00976582">
        <w:rPr>
          <w:rFonts w:ascii="Tahoma" w:hAnsi="Tahoma"/>
          <w:bCs/>
        </w:rPr>
        <w:t>пролонги</w:t>
      </w:r>
      <w:r w:rsidR="00976582">
        <w:rPr>
          <w:rFonts w:ascii="Tahoma" w:hAnsi="Tahoma"/>
          <w:bCs/>
        </w:rPr>
        <w:t>рање на периодот на одржување н</w:t>
      </w:r>
      <w:r w:rsidR="00976582" w:rsidRPr="00976582">
        <w:rPr>
          <w:rFonts w:ascii="Tahoma" w:hAnsi="Tahoma"/>
          <w:bCs/>
        </w:rPr>
        <w:t>и</w:t>
      </w:r>
      <w:r w:rsidR="00976582">
        <w:rPr>
          <w:rFonts w:ascii="Tahoma" w:hAnsi="Tahoma"/>
          <w:bCs/>
        </w:rPr>
        <w:t>с</w:t>
      </w:r>
      <w:r w:rsidR="00976582" w:rsidRPr="00976582">
        <w:rPr>
          <w:rFonts w:ascii="Tahoma" w:hAnsi="Tahoma"/>
          <w:bCs/>
        </w:rPr>
        <w:t xml:space="preserve">ка инфлација. </w:t>
      </w:r>
      <w:r w:rsidRPr="00976582">
        <w:rPr>
          <w:rFonts w:ascii="Tahoma" w:hAnsi="Tahoma"/>
          <w:b/>
          <w:bCs/>
        </w:rPr>
        <w:t>Гледано низ призмата на</w:t>
      </w:r>
      <w:r w:rsidRPr="00A26B71">
        <w:rPr>
          <w:rFonts w:ascii="Tahoma" w:hAnsi="Tahoma"/>
          <w:b/>
          <w:bCs/>
        </w:rPr>
        <w:t xml:space="preserve"> одделните квантитативни показатели за надворешното окружу</w:t>
      </w:r>
      <w:r w:rsidR="008C0C8B">
        <w:rPr>
          <w:rFonts w:ascii="Tahoma" w:hAnsi="Tahoma"/>
          <w:b/>
          <w:bCs/>
        </w:rPr>
        <w:t xml:space="preserve">вање за македонската економија, </w:t>
      </w:r>
      <w:r w:rsidRPr="00A26B71">
        <w:rPr>
          <w:rFonts w:ascii="Tahoma" w:hAnsi="Tahoma"/>
          <w:b/>
          <w:bCs/>
        </w:rPr>
        <w:t xml:space="preserve">оценките за странската ефективна побарувачка за периодот 2014-2015 година се непроменети во однос на априлската проекција. </w:t>
      </w:r>
      <w:r w:rsidR="00A45A75">
        <w:rPr>
          <w:rFonts w:ascii="Tahoma" w:hAnsi="Tahoma"/>
          <w:b/>
          <w:bCs/>
        </w:rPr>
        <w:t xml:space="preserve">Кај </w:t>
      </w:r>
      <w:r w:rsidRPr="00A26B71">
        <w:rPr>
          <w:rFonts w:ascii="Tahoma" w:hAnsi="Tahoma"/>
          <w:b/>
          <w:bCs/>
        </w:rPr>
        <w:t>очекувањата за цените на примарните производи</w:t>
      </w:r>
      <w:r w:rsidR="00A45A75">
        <w:rPr>
          <w:rFonts w:ascii="Tahoma" w:hAnsi="Tahoma"/>
          <w:b/>
          <w:bCs/>
        </w:rPr>
        <w:t>, промените</w:t>
      </w:r>
      <w:r w:rsidRPr="00A26B71">
        <w:rPr>
          <w:rFonts w:ascii="Tahoma" w:hAnsi="Tahoma"/>
          <w:b/>
          <w:bCs/>
        </w:rPr>
        <w:t xml:space="preserve"> се </w:t>
      </w:r>
      <w:r w:rsidR="00A45A75">
        <w:rPr>
          <w:rFonts w:ascii="Tahoma" w:hAnsi="Tahoma"/>
          <w:b/>
          <w:bCs/>
        </w:rPr>
        <w:t xml:space="preserve">одвиваат </w:t>
      </w:r>
      <w:r w:rsidRPr="00A26B71">
        <w:rPr>
          <w:rFonts w:ascii="Tahoma" w:hAnsi="Tahoma"/>
          <w:b/>
          <w:bCs/>
        </w:rPr>
        <w:t xml:space="preserve">во различна насока. </w:t>
      </w:r>
      <w:r w:rsidRPr="00A26B71">
        <w:rPr>
          <w:rFonts w:ascii="Tahoma" w:hAnsi="Tahoma"/>
          <w:bCs/>
        </w:rPr>
        <w:t>П</w:t>
      </w:r>
      <w:r w:rsidRPr="00A26B71">
        <w:rPr>
          <w:rFonts w:ascii="Tahoma" w:hAnsi="Tahoma"/>
        </w:rPr>
        <w:t xml:space="preserve">оследните оцени за </w:t>
      </w:r>
      <w:r w:rsidRPr="00A26B71">
        <w:rPr>
          <w:rFonts w:ascii="Tahoma" w:hAnsi="Tahoma"/>
          <w:b/>
        </w:rPr>
        <w:t>светските</w:t>
      </w:r>
      <w:r w:rsidRPr="00A26B71">
        <w:rPr>
          <w:rFonts w:ascii="Tahoma" w:hAnsi="Tahoma"/>
          <w:b/>
          <w:bCs/>
        </w:rPr>
        <w:t xml:space="preserve"> цени на нафтата </w:t>
      </w:r>
      <w:r w:rsidRPr="00A26B71">
        <w:rPr>
          <w:rFonts w:ascii="Tahoma" w:hAnsi="Tahoma"/>
          <w:bCs/>
        </w:rPr>
        <w:t>за 2014 година и натаму се во насока</w:t>
      </w:r>
      <w:r w:rsidRPr="00A26B71">
        <w:rPr>
          <w:rFonts w:ascii="Tahoma" w:hAnsi="Tahoma"/>
          <w:b/>
          <w:bCs/>
        </w:rPr>
        <w:t xml:space="preserve"> </w:t>
      </w:r>
      <w:r w:rsidRPr="00A26B71">
        <w:rPr>
          <w:rFonts w:ascii="Tahoma" w:hAnsi="Tahoma"/>
          <w:bCs/>
        </w:rPr>
        <w:t xml:space="preserve">на намалување на цената на овој </w:t>
      </w:r>
      <w:proofErr w:type="spellStart"/>
      <w:r w:rsidRPr="00A26B71">
        <w:rPr>
          <w:rFonts w:ascii="Tahoma" w:hAnsi="Tahoma"/>
          <w:bCs/>
        </w:rPr>
        <w:t>енерген</w:t>
      </w:r>
      <w:r w:rsidR="00A45A75">
        <w:rPr>
          <w:rFonts w:ascii="Tahoma" w:hAnsi="Tahoma"/>
          <w:bCs/>
        </w:rPr>
        <w:t>т</w:t>
      </w:r>
      <w:proofErr w:type="spellEnd"/>
      <w:r w:rsidRPr="00A26B71">
        <w:rPr>
          <w:rFonts w:ascii="Tahoma" w:hAnsi="Tahoma"/>
          <w:bCs/>
        </w:rPr>
        <w:t xml:space="preserve">, </w:t>
      </w:r>
      <w:r w:rsidRPr="008D6B73">
        <w:rPr>
          <w:rFonts w:ascii="Tahoma" w:hAnsi="Tahoma"/>
          <w:bCs/>
        </w:rPr>
        <w:t>со сличен интензитет</w:t>
      </w:r>
      <w:r w:rsidRPr="00A26B71">
        <w:rPr>
          <w:rFonts w:ascii="Tahoma" w:hAnsi="Tahoma"/>
          <w:bCs/>
        </w:rPr>
        <w:t xml:space="preserve"> споредено со априлската проекција. За 2015 година новите оцени упатуваат на раст на цената на нафтата, наспроти очекуваниот пад во априлската проекција и се поврзуваат главно со настаните во Ирак и </w:t>
      </w:r>
      <w:r w:rsidR="0097750C">
        <w:rPr>
          <w:rFonts w:ascii="Tahoma" w:hAnsi="Tahoma"/>
          <w:bCs/>
        </w:rPr>
        <w:t>одолжувањето</w:t>
      </w:r>
      <w:r w:rsidR="0097750C" w:rsidRPr="00A26B71">
        <w:rPr>
          <w:rFonts w:ascii="Tahoma" w:hAnsi="Tahoma"/>
          <w:bCs/>
        </w:rPr>
        <w:t xml:space="preserve"> </w:t>
      </w:r>
      <w:r w:rsidRPr="00A26B71">
        <w:rPr>
          <w:rFonts w:ascii="Tahoma" w:hAnsi="Tahoma"/>
          <w:bCs/>
        </w:rPr>
        <w:t xml:space="preserve">на конфликтот во Источна Украина. Новите оцени за </w:t>
      </w:r>
      <w:r w:rsidRPr="00A26B71">
        <w:rPr>
          <w:rFonts w:ascii="Tahoma" w:hAnsi="Tahoma"/>
          <w:b/>
          <w:bCs/>
        </w:rPr>
        <w:t>цените на металите</w:t>
      </w:r>
      <w:r w:rsidRPr="00A26B71">
        <w:rPr>
          <w:rFonts w:ascii="Tahoma" w:hAnsi="Tahoma"/>
          <w:bCs/>
        </w:rPr>
        <w:t xml:space="preserve"> укажуваат на поповолни поместувања во условите на размена за овој сектор, </w:t>
      </w:r>
      <w:r w:rsidR="0097750C">
        <w:rPr>
          <w:rFonts w:ascii="Tahoma" w:hAnsi="Tahoma"/>
          <w:bCs/>
        </w:rPr>
        <w:t xml:space="preserve">во </w:t>
      </w:r>
      <w:r w:rsidRPr="00A26B71">
        <w:rPr>
          <w:rFonts w:ascii="Tahoma" w:hAnsi="Tahoma"/>
          <w:bCs/>
        </w:rPr>
        <w:t>според</w:t>
      </w:r>
      <w:r w:rsidR="0097750C">
        <w:rPr>
          <w:rFonts w:ascii="Tahoma" w:hAnsi="Tahoma"/>
          <w:bCs/>
        </w:rPr>
        <w:t>ба</w:t>
      </w:r>
      <w:r w:rsidRPr="00A26B71">
        <w:rPr>
          <w:rFonts w:ascii="Tahoma" w:hAnsi="Tahoma"/>
          <w:bCs/>
        </w:rPr>
        <w:t xml:space="preserve"> со априлските проекции. Ова поместување е особено изразено кај цените на никелот, што главно се врзува со фактори на страната на понудата. </w:t>
      </w:r>
      <w:r w:rsidRPr="00A26B71">
        <w:rPr>
          <w:rFonts w:ascii="Tahoma" w:hAnsi="Tahoma"/>
        </w:rPr>
        <w:t xml:space="preserve">Во однос на </w:t>
      </w:r>
      <w:r w:rsidRPr="00A26B71">
        <w:rPr>
          <w:rFonts w:ascii="Tahoma" w:hAnsi="Tahoma"/>
          <w:b/>
        </w:rPr>
        <w:t>цените на храната</w:t>
      </w:r>
      <w:r w:rsidRPr="00A26B71">
        <w:rPr>
          <w:rFonts w:ascii="Tahoma" w:hAnsi="Tahoma"/>
        </w:rPr>
        <w:t>, најновите оцени за 2014 година и 2015 година покажуваат изразено помали увозни притисоци преку овој канал врз домашната инфлација и условите на размена, споредено со априлските проекции.</w:t>
      </w:r>
      <w:r w:rsidR="00976582">
        <w:rPr>
          <w:rFonts w:ascii="Tahoma" w:hAnsi="Tahoma"/>
        </w:rPr>
        <w:t xml:space="preserve"> Сепак</w:t>
      </w:r>
      <w:r w:rsidR="0097750C">
        <w:rPr>
          <w:rFonts w:ascii="Tahoma" w:hAnsi="Tahoma"/>
        </w:rPr>
        <w:t>,</w:t>
      </w:r>
      <w:r w:rsidR="00976582">
        <w:rPr>
          <w:rFonts w:ascii="Tahoma" w:hAnsi="Tahoma"/>
        </w:rPr>
        <w:t xml:space="preserve"> треба да се има предвид дека во услови на </w:t>
      </w:r>
      <w:r w:rsidR="0097750C">
        <w:rPr>
          <w:rFonts w:ascii="Tahoma" w:hAnsi="Tahoma"/>
        </w:rPr>
        <w:t xml:space="preserve">засилување </w:t>
      </w:r>
      <w:r w:rsidR="00976582">
        <w:rPr>
          <w:rFonts w:ascii="Tahoma" w:hAnsi="Tahoma"/>
        </w:rPr>
        <w:t xml:space="preserve">на политичките тензии </w:t>
      </w:r>
      <w:r w:rsidR="00016CD6">
        <w:rPr>
          <w:rFonts w:ascii="Tahoma" w:hAnsi="Tahoma"/>
        </w:rPr>
        <w:t xml:space="preserve">помеѓу Русија и САД/ЕУ и </w:t>
      </w:r>
      <w:r w:rsidR="00976582">
        <w:rPr>
          <w:rFonts w:ascii="Tahoma" w:hAnsi="Tahoma"/>
        </w:rPr>
        <w:t xml:space="preserve">воведувањето трговски бариери и економски санкции, </w:t>
      </w:r>
      <w:r w:rsidR="00ED2849">
        <w:rPr>
          <w:rFonts w:ascii="Tahoma" w:hAnsi="Tahoma"/>
        </w:rPr>
        <w:t>оцените за</w:t>
      </w:r>
      <w:r w:rsidR="00976582">
        <w:rPr>
          <w:rFonts w:ascii="Tahoma" w:hAnsi="Tahoma"/>
        </w:rPr>
        <w:t xml:space="preserve"> идната патека на цените на</w:t>
      </w:r>
      <w:r w:rsidR="00ED2849">
        <w:rPr>
          <w:rFonts w:ascii="Tahoma" w:hAnsi="Tahoma"/>
        </w:rPr>
        <w:t xml:space="preserve"> дел од примарните производи може да бидат променливи.</w:t>
      </w:r>
    </w:p>
    <w:p w:rsidR="00A26B71" w:rsidRPr="00A26B71" w:rsidRDefault="00A26B71" w:rsidP="00A26B71">
      <w:pPr>
        <w:jc w:val="both"/>
        <w:rPr>
          <w:rFonts w:ascii="Tahoma" w:hAnsi="Tahoma"/>
        </w:rPr>
      </w:pPr>
    </w:p>
    <w:p w:rsidR="006A07A3" w:rsidRPr="006A07A3" w:rsidRDefault="00A26B71" w:rsidP="00A26B71">
      <w:pPr>
        <w:jc w:val="both"/>
        <w:rPr>
          <w:rFonts w:ascii="Tahoma" w:hAnsi="Tahoma"/>
        </w:rPr>
      </w:pPr>
      <w:r w:rsidRPr="00A26B71">
        <w:rPr>
          <w:rFonts w:ascii="Tahoma" w:hAnsi="Tahoma"/>
          <w:b/>
          <w:bCs/>
        </w:rPr>
        <w:t>Споредбата на последните макроекономски показатели со нивната проектирана динамика во рамки на априлскиот циклус проекции не дава сигнали за некои поголеми отстапувања. Од аспект на одделните индикатори релевантни за монетарната политика</w:t>
      </w:r>
      <w:r w:rsidRPr="006A07A3">
        <w:rPr>
          <w:rFonts w:ascii="Tahoma" w:hAnsi="Tahoma"/>
          <w:b/>
          <w:bCs/>
        </w:rPr>
        <w:t xml:space="preserve">, податоците за </w:t>
      </w:r>
      <w:r w:rsidRPr="006A07A3">
        <w:rPr>
          <w:rFonts w:ascii="Tahoma" w:hAnsi="Tahoma"/>
          <w:b/>
        </w:rPr>
        <w:t>инфлацијата</w:t>
      </w:r>
      <w:r w:rsidRPr="006A07A3">
        <w:rPr>
          <w:rFonts w:ascii="Tahoma" w:hAnsi="Tahoma"/>
        </w:rPr>
        <w:t xml:space="preserve"> со јули 2014 година упатија на натамошно отсуство на </w:t>
      </w:r>
      <w:r w:rsidR="006A07A3" w:rsidRPr="006A07A3">
        <w:rPr>
          <w:rFonts w:ascii="Tahoma" w:hAnsi="Tahoma"/>
        </w:rPr>
        <w:t xml:space="preserve">поголеми </w:t>
      </w:r>
      <w:proofErr w:type="spellStart"/>
      <w:r w:rsidRPr="006A07A3">
        <w:rPr>
          <w:rFonts w:ascii="Tahoma" w:hAnsi="Tahoma"/>
        </w:rPr>
        <w:t>ценовни</w:t>
      </w:r>
      <w:proofErr w:type="spellEnd"/>
      <w:r w:rsidRPr="006A07A3">
        <w:rPr>
          <w:rFonts w:ascii="Tahoma" w:hAnsi="Tahoma"/>
        </w:rPr>
        <w:t xml:space="preserve"> притисоци и </w:t>
      </w:r>
      <w:r w:rsidR="006A07A3" w:rsidRPr="006A07A3">
        <w:rPr>
          <w:rFonts w:ascii="Tahoma" w:hAnsi="Tahoma"/>
        </w:rPr>
        <w:t xml:space="preserve">нешто </w:t>
      </w:r>
      <w:r w:rsidRPr="006A07A3">
        <w:rPr>
          <w:rFonts w:ascii="Tahoma" w:hAnsi="Tahoma"/>
        </w:rPr>
        <w:t xml:space="preserve">пониска стапка на инфлација во однос на очекуваната со априлската проекција. </w:t>
      </w:r>
      <w:r w:rsidR="006A07A3" w:rsidRPr="006A07A3">
        <w:rPr>
          <w:rFonts w:ascii="Tahoma" w:hAnsi="Tahoma"/>
        </w:rPr>
        <w:t>Сепак, јазот помеѓу остварената и проектираната инфлација</w:t>
      </w:r>
      <w:r w:rsidR="008C0C8B">
        <w:rPr>
          <w:rFonts w:ascii="Tahoma" w:hAnsi="Tahoma"/>
        </w:rPr>
        <w:t xml:space="preserve"> </w:t>
      </w:r>
      <w:r w:rsidR="006A07A3" w:rsidRPr="006A07A3">
        <w:rPr>
          <w:rFonts w:ascii="Tahoma" w:hAnsi="Tahoma"/>
        </w:rPr>
        <w:t xml:space="preserve">во јули значително се стесни. Притоа, цените на храната </w:t>
      </w:r>
      <w:r w:rsidR="0028551F">
        <w:rPr>
          <w:rFonts w:ascii="Tahoma" w:hAnsi="Tahoma"/>
        </w:rPr>
        <w:t>и</w:t>
      </w:r>
      <w:r w:rsidR="006A07A3" w:rsidRPr="006A07A3">
        <w:rPr>
          <w:rFonts w:ascii="Tahoma" w:hAnsi="Tahoma"/>
        </w:rPr>
        <w:t xml:space="preserve"> ен</w:t>
      </w:r>
      <w:r w:rsidR="0028551F">
        <w:rPr>
          <w:rFonts w:ascii="Tahoma" w:hAnsi="Tahoma"/>
        </w:rPr>
        <w:t xml:space="preserve">ергетската компонента на цените, генерално </w:t>
      </w:r>
      <w:r w:rsidR="0028551F" w:rsidRPr="006A07A3">
        <w:rPr>
          <w:rFonts w:ascii="Tahoma" w:hAnsi="Tahoma"/>
        </w:rPr>
        <w:t>се движеа во проектираните</w:t>
      </w:r>
      <w:r w:rsidR="0028551F">
        <w:rPr>
          <w:rFonts w:ascii="Tahoma" w:hAnsi="Tahoma"/>
        </w:rPr>
        <w:t xml:space="preserve"> рамки, додека п</w:t>
      </w:r>
      <w:r w:rsidR="006A07A3">
        <w:rPr>
          <w:rFonts w:ascii="Tahoma" w:hAnsi="Tahoma"/>
        </w:rPr>
        <w:t>ритисоците преку базичната инфлација беа помали од проектираните.</w:t>
      </w:r>
    </w:p>
    <w:p w:rsidR="006A07A3" w:rsidRPr="003E2968" w:rsidRDefault="006A07A3" w:rsidP="00A26B71">
      <w:pPr>
        <w:jc w:val="both"/>
        <w:rPr>
          <w:rFonts w:ascii="Tahoma" w:hAnsi="Tahoma"/>
        </w:rPr>
      </w:pPr>
    </w:p>
    <w:p w:rsidR="00A26B71" w:rsidRDefault="00016CD6" w:rsidP="00A26B71">
      <w:pPr>
        <w:jc w:val="both"/>
        <w:rPr>
          <w:rFonts w:ascii="Tahoma" w:hAnsi="Tahoma"/>
          <w:b/>
          <w:szCs w:val="22"/>
        </w:rPr>
      </w:pPr>
      <w:r>
        <w:rPr>
          <w:rFonts w:ascii="Tahoma" w:hAnsi="Tahoma"/>
        </w:rPr>
        <w:lastRenderedPageBreak/>
        <w:t xml:space="preserve">На месечна основа, </w:t>
      </w:r>
      <w:r w:rsidR="00A26B71" w:rsidRPr="003E2968">
        <w:rPr>
          <w:rFonts w:ascii="Tahoma" w:hAnsi="Tahoma"/>
        </w:rPr>
        <w:t>нивото на це</w:t>
      </w:r>
      <w:r w:rsidR="006A07A3" w:rsidRPr="003E2968">
        <w:rPr>
          <w:rFonts w:ascii="Tahoma" w:hAnsi="Tahoma"/>
        </w:rPr>
        <w:t>ни забележа умерен раст (за 0,2</w:t>
      </w:r>
      <w:r w:rsidR="00A26B71" w:rsidRPr="003E2968">
        <w:rPr>
          <w:rFonts w:ascii="Tahoma" w:hAnsi="Tahoma"/>
        </w:rPr>
        <w:t xml:space="preserve">%), </w:t>
      </w:r>
      <w:r w:rsidR="003E2968">
        <w:rPr>
          <w:rFonts w:ascii="Tahoma" w:hAnsi="Tahoma"/>
        </w:rPr>
        <w:t>реф</w:t>
      </w:r>
      <w:r w:rsidR="006A07A3" w:rsidRPr="003E2968">
        <w:rPr>
          <w:rFonts w:ascii="Tahoma" w:hAnsi="Tahoma"/>
        </w:rPr>
        <w:t>л</w:t>
      </w:r>
      <w:r w:rsidR="003E2968">
        <w:rPr>
          <w:rFonts w:ascii="Tahoma" w:hAnsi="Tahoma"/>
        </w:rPr>
        <w:t>е</w:t>
      </w:r>
      <w:r w:rsidR="006A07A3" w:rsidRPr="003E2968">
        <w:rPr>
          <w:rFonts w:ascii="Tahoma" w:hAnsi="Tahoma"/>
        </w:rPr>
        <w:t>ктирајќи го растот на це</w:t>
      </w:r>
      <w:r w:rsidR="00DF02BD">
        <w:rPr>
          <w:rFonts w:ascii="Tahoma" w:hAnsi="Tahoma"/>
        </w:rPr>
        <w:t xml:space="preserve">ните на електричната енергија, </w:t>
      </w:r>
      <w:r w:rsidR="006A07A3" w:rsidRPr="003E2968">
        <w:rPr>
          <w:rFonts w:ascii="Tahoma" w:hAnsi="Tahoma"/>
        </w:rPr>
        <w:t>на нафтените деривати</w:t>
      </w:r>
      <w:r w:rsidR="00DF02BD">
        <w:rPr>
          <w:rFonts w:ascii="Tahoma" w:hAnsi="Tahoma"/>
        </w:rPr>
        <w:t xml:space="preserve"> и на </w:t>
      </w:r>
      <w:r w:rsidR="006D60B5">
        <w:rPr>
          <w:rFonts w:ascii="Tahoma" w:hAnsi="Tahoma"/>
        </w:rPr>
        <w:t>цигарите</w:t>
      </w:r>
      <w:r w:rsidR="00DF02BD">
        <w:rPr>
          <w:rFonts w:ascii="Tahoma" w:hAnsi="Tahoma"/>
        </w:rPr>
        <w:t xml:space="preserve">, согласно </w:t>
      </w:r>
      <w:r w:rsidR="007228B9">
        <w:rPr>
          <w:rFonts w:ascii="Tahoma" w:hAnsi="Tahoma"/>
        </w:rPr>
        <w:t xml:space="preserve">со </w:t>
      </w:r>
      <w:r w:rsidR="00DF02BD">
        <w:rPr>
          <w:rFonts w:ascii="Tahoma" w:hAnsi="Tahoma"/>
        </w:rPr>
        <w:t xml:space="preserve">зголемувањето на акцизите во јули. </w:t>
      </w:r>
      <w:r w:rsidR="006A07A3" w:rsidRPr="003E2968">
        <w:rPr>
          <w:rFonts w:ascii="Tahoma" w:hAnsi="Tahoma"/>
        </w:rPr>
        <w:t>Овие движења, заедно со стабилизирањето на споредбената основа</w:t>
      </w:r>
      <w:r w:rsidR="007228B9">
        <w:rPr>
          <w:rFonts w:ascii="Tahoma" w:hAnsi="Tahoma"/>
        </w:rPr>
        <w:t>,</w:t>
      </w:r>
      <w:r w:rsidR="006A07A3" w:rsidRPr="003E2968">
        <w:rPr>
          <w:rFonts w:ascii="Tahoma" w:hAnsi="Tahoma"/>
        </w:rPr>
        <w:t xml:space="preserve"> придонесоа за мал годишен раст на цените од 0,3%, по </w:t>
      </w:r>
      <w:r w:rsidR="007228B9">
        <w:rPr>
          <w:rFonts w:ascii="Tahoma" w:hAnsi="Tahoma"/>
        </w:rPr>
        <w:t>тримесечно</w:t>
      </w:r>
      <w:r w:rsidR="00F65EAB">
        <w:rPr>
          <w:rFonts w:ascii="Tahoma" w:hAnsi="Tahoma"/>
        </w:rPr>
        <w:t>то</w:t>
      </w:r>
      <w:r w:rsidR="006A07A3" w:rsidRPr="003E2968">
        <w:rPr>
          <w:rFonts w:ascii="Tahoma" w:hAnsi="Tahoma"/>
        </w:rPr>
        <w:t xml:space="preserve"> постојано намалување. На кумулативна основа, промената на цените и понатаму е негативна и изнесува 0,1%. </w:t>
      </w:r>
      <w:r w:rsidR="00A26B71" w:rsidRPr="003E2968">
        <w:rPr>
          <w:rFonts w:ascii="Tahoma" w:hAnsi="Tahoma"/>
        </w:rPr>
        <w:t xml:space="preserve">Со оглед на причините, </w:t>
      </w:r>
      <w:r w:rsidR="00F65EAB" w:rsidRPr="003E2968">
        <w:rPr>
          <w:rFonts w:ascii="Tahoma" w:hAnsi="Tahoma"/>
        </w:rPr>
        <w:t>засега</w:t>
      </w:r>
      <w:r w:rsidR="00F65EAB">
        <w:rPr>
          <w:rFonts w:ascii="Tahoma" w:hAnsi="Tahoma"/>
        </w:rPr>
        <w:t xml:space="preserve"> </w:t>
      </w:r>
      <w:r w:rsidR="00F65EAB" w:rsidRPr="003E2968">
        <w:rPr>
          <w:rFonts w:ascii="Tahoma" w:hAnsi="Tahoma"/>
        </w:rPr>
        <w:t>се оценува</w:t>
      </w:r>
      <w:r w:rsidR="00F65EAB">
        <w:rPr>
          <w:rFonts w:ascii="Tahoma" w:hAnsi="Tahoma"/>
        </w:rPr>
        <w:t xml:space="preserve"> дека </w:t>
      </w:r>
      <w:r w:rsidR="00A26B71" w:rsidRPr="003E2968">
        <w:rPr>
          <w:rFonts w:ascii="Tahoma" w:hAnsi="Tahoma"/>
        </w:rPr>
        <w:t xml:space="preserve">падот на цените </w:t>
      </w:r>
      <w:r w:rsidR="00F65EAB">
        <w:rPr>
          <w:rFonts w:ascii="Tahoma" w:hAnsi="Tahoma"/>
        </w:rPr>
        <w:t>е</w:t>
      </w:r>
      <w:r w:rsidR="00A26B71" w:rsidRPr="003E2968">
        <w:rPr>
          <w:rFonts w:ascii="Tahoma" w:hAnsi="Tahoma"/>
        </w:rPr>
        <w:t xml:space="preserve"> привремен. На ваков заклучок упатуваат и резултатите од посл</w:t>
      </w:r>
      <w:r w:rsidR="003E2968">
        <w:rPr>
          <w:rFonts w:ascii="Tahoma" w:hAnsi="Tahoma"/>
        </w:rPr>
        <w:t xml:space="preserve">едната Анкета </w:t>
      </w:r>
      <w:r w:rsidR="00A26B71" w:rsidRPr="003E2968">
        <w:rPr>
          <w:rFonts w:ascii="Tahoma" w:hAnsi="Tahoma"/>
        </w:rPr>
        <w:t>за инфлациски</w:t>
      </w:r>
      <w:r w:rsidR="00F65EAB">
        <w:rPr>
          <w:rFonts w:ascii="Tahoma" w:hAnsi="Tahoma"/>
        </w:rPr>
        <w:t>те</w:t>
      </w:r>
      <w:r w:rsidR="00A26B71" w:rsidRPr="003E2968">
        <w:rPr>
          <w:rFonts w:ascii="Tahoma" w:hAnsi="Tahoma"/>
        </w:rPr>
        <w:t xml:space="preserve"> очекувања, според к</w:t>
      </w:r>
      <w:r w:rsidR="003E2968">
        <w:rPr>
          <w:rFonts w:ascii="Tahoma" w:hAnsi="Tahoma"/>
        </w:rPr>
        <w:t xml:space="preserve">оја инфлациските очекувања </w:t>
      </w:r>
      <w:r w:rsidR="00A26B71" w:rsidRPr="003E2968">
        <w:rPr>
          <w:rFonts w:ascii="Tahoma" w:hAnsi="Tahoma"/>
        </w:rPr>
        <w:t xml:space="preserve">за 2014 година се во позитивната </w:t>
      </w:r>
      <w:r w:rsidR="006A07A3" w:rsidRPr="003E2968">
        <w:rPr>
          <w:rFonts w:ascii="Tahoma" w:hAnsi="Tahoma"/>
        </w:rPr>
        <w:t>зона. Базичн</w:t>
      </w:r>
      <w:r w:rsidR="003E2968">
        <w:rPr>
          <w:rFonts w:ascii="Tahoma" w:hAnsi="Tahoma"/>
        </w:rPr>
        <w:t>ата инфлација во јули забе</w:t>
      </w:r>
      <w:r w:rsidR="006A07A3" w:rsidRPr="003E2968">
        <w:rPr>
          <w:rFonts w:ascii="Tahoma" w:hAnsi="Tahoma"/>
        </w:rPr>
        <w:t xml:space="preserve">лежа раст, а на годишна основа се задржа </w:t>
      </w:r>
      <w:r w:rsidR="003E2968" w:rsidRPr="003E2968">
        <w:rPr>
          <w:rFonts w:ascii="Tahoma" w:hAnsi="Tahoma"/>
        </w:rPr>
        <w:t xml:space="preserve">на  0,7%. Пониските појдовни услови </w:t>
      </w:r>
      <w:r w:rsidR="00A26B71" w:rsidRPr="003E2968">
        <w:rPr>
          <w:rFonts w:ascii="Tahoma" w:hAnsi="Tahoma"/>
        </w:rPr>
        <w:t>и</w:t>
      </w:r>
      <w:r w:rsidR="00A26B71" w:rsidRPr="003E2968">
        <w:rPr>
          <w:rFonts w:ascii="Tahoma" w:hAnsi="Tahoma"/>
          <w:szCs w:val="22"/>
        </w:rPr>
        <w:t xml:space="preserve"> ревизиите на в</w:t>
      </w:r>
      <w:r w:rsidR="003E2968" w:rsidRPr="003E2968">
        <w:rPr>
          <w:rFonts w:ascii="Tahoma" w:hAnsi="Tahoma"/>
          <w:szCs w:val="22"/>
        </w:rPr>
        <w:t>лезните надворешни пре</w:t>
      </w:r>
      <w:r w:rsidR="003E2968">
        <w:rPr>
          <w:rFonts w:ascii="Tahoma" w:hAnsi="Tahoma"/>
          <w:szCs w:val="22"/>
        </w:rPr>
        <w:t xml:space="preserve">тпоставки упатуваат на надолни </w:t>
      </w:r>
      <w:r w:rsidR="003E2968" w:rsidRPr="003E2968">
        <w:rPr>
          <w:rFonts w:ascii="Tahoma" w:hAnsi="Tahoma"/>
          <w:szCs w:val="22"/>
        </w:rPr>
        <w:t>ризици околу проекцијата на инфлацијата за 2014 година. Од друга страна</w:t>
      </w:r>
      <w:r w:rsidR="00F65EAB">
        <w:rPr>
          <w:rFonts w:ascii="Tahoma" w:hAnsi="Tahoma"/>
          <w:szCs w:val="22"/>
        </w:rPr>
        <w:t>,</w:t>
      </w:r>
      <w:r w:rsidR="00A26B71" w:rsidRPr="003E2968">
        <w:rPr>
          <w:rFonts w:ascii="Tahoma" w:hAnsi="Tahoma"/>
          <w:szCs w:val="22"/>
        </w:rPr>
        <w:t xml:space="preserve"> присутни се и</w:t>
      </w:r>
      <w:r w:rsidR="003E2968">
        <w:rPr>
          <w:rFonts w:ascii="Tahoma" w:hAnsi="Tahoma"/>
          <w:szCs w:val="22"/>
        </w:rPr>
        <w:t xml:space="preserve"> нагорни ризици </w:t>
      </w:r>
      <w:r w:rsidR="00A26B71" w:rsidRPr="003E2968">
        <w:rPr>
          <w:rFonts w:ascii="Tahoma" w:hAnsi="Tahoma"/>
          <w:szCs w:val="22"/>
        </w:rPr>
        <w:t xml:space="preserve">околу цените на енергијата </w:t>
      </w:r>
      <w:r w:rsidR="003E2968" w:rsidRPr="003E2968">
        <w:rPr>
          <w:rFonts w:ascii="Tahoma" w:hAnsi="Tahoma"/>
          <w:szCs w:val="22"/>
        </w:rPr>
        <w:t xml:space="preserve">и храната </w:t>
      </w:r>
      <w:r w:rsidR="00A26B71" w:rsidRPr="003E2968">
        <w:rPr>
          <w:rFonts w:ascii="Tahoma" w:hAnsi="Tahoma"/>
          <w:szCs w:val="22"/>
        </w:rPr>
        <w:t>(поврзани с</w:t>
      </w:r>
      <w:r w:rsidR="003E2968" w:rsidRPr="003E2968">
        <w:rPr>
          <w:rFonts w:ascii="Tahoma" w:hAnsi="Tahoma"/>
          <w:szCs w:val="22"/>
        </w:rPr>
        <w:t>о геополитичките тензии во Ирак</w:t>
      </w:r>
      <w:r w:rsidR="00A26B71" w:rsidRPr="003E2968">
        <w:rPr>
          <w:rFonts w:ascii="Tahoma" w:hAnsi="Tahoma"/>
          <w:szCs w:val="22"/>
        </w:rPr>
        <w:t xml:space="preserve">, </w:t>
      </w:r>
      <w:r w:rsidR="003E2968" w:rsidRPr="003E2968">
        <w:rPr>
          <w:rFonts w:ascii="Tahoma" w:hAnsi="Tahoma"/>
          <w:szCs w:val="22"/>
        </w:rPr>
        <w:t>повторното акту</w:t>
      </w:r>
      <w:r w:rsidR="009D278B">
        <w:rPr>
          <w:rFonts w:ascii="Tahoma" w:hAnsi="Tahoma"/>
          <w:szCs w:val="22"/>
        </w:rPr>
        <w:t>а</w:t>
      </w:r>
      <w:r w:rsidR="003E2968" w:rsidRPr="003E2968">
        <w:rPr>
          <w:rFonts w:ascii="Tahoma" w:hAnsi="Tahoma"/>
          <w:szCs w:val="22"/>
        </w:rPr>
        <w:t>лизирање на руско</w:t>
      </w:r>
      <w:r w:rsidR="00F65EAB">
        <w:rPr>
          <w:rFonts w:ascii="Tahoma" w:hAnsi="Tahoma"/>
          <w:szCs w:val="22"/>
        </w:rPr>
        <w:t xml:space="preserve"> </w:t>
      </w:r>
      <w:r w:rsidR="003E2968" w:rsidRPr="003E2968">
        <w:rPr>
          <w:rFonts w:ascii="Tahoma" w:hAnsi="Tahoma"/>
          <w:szCs w:val="22"/>
        </w:rPr>
        <w:t>-</w:t>
      </w:r>
      <w:r w:rsidR="00F65EAB">
        <w:rPr>
          <w:rFonts w:ascii="Tahoma" w:hAnsi="Tahoma"/>
          <w:szCs w:val="22"/>
        </w:rPr>
        <w:t xml:space="preserve"> </w:t>
      </w:r>
      <w:r w:rsidR="003E2968" w:rsidRPr="003E2968">
        <w:rPr>
          <w:rFonts w:ascii="Tahoma" w:hAnsi="Tahoma"/>
          <w:szCs w:val="22"/>
        </w:rPr>
        <w:t xml:space="preserve">украинскиот конфликт, </w:t>
      </w:r>
      <w:r w:rsidR="00A26B71" w:rsidRPr="003E2968">
        <w:rPr>
          <w:rFonts w:ascii="Tahoma" w:hAnsi="Tahoma"/>
          <w:szCs w:val="22"/>
        </w:rPr>
        <w:t>како и евентуалните ефекти од поплавите во регионот</w:t>
      </w:r>
      <w:r w:rsidR="003E2968" w:rsidRPr="003E2968">
        <w:rPr>
          <w:rFonts w:ascii="Tahoma" w:hAnsi="Tahoma"/>
          <w:szCs w:val="22"/>
        </w:rPr>
        <w:t>)</w:t>
      </w:r>
      <w:r w:rsidR="00A26B71" w:rsidRPr="003E2968">
        <w:rPr>
          <w:rFonts w:ascii="Tahoma" w:hAnsi="Tahoma"/>
          <w:szCs w:val="22"/>
        </w:rPr>
        <w:t>.</w:t>
      </w:r>
      <w:r w:rsidR="003E2968" w:rsidRPr="003E2968">
        <w:rPr>
          <w:rFonts w:ascii="Tahoma" w:hAnsi="Tahoma"/>
          <w:szCs w:val="22"/>
        </w:rPr>
        <w:t xml:space="preserve"> </w:t>
      </w:r>
      <w:r w:rsidR="00A26B71" w:rsidRPr="003E2968">
        <w:rPr>
          <w:rFonts w:ascii="Tahoma" w:hAnsi="Tahoma"/>
          <w:b/>
          <w:szCs w:val="22"/>
        </w:rPr>
        <w:t xml:space="preserve">Оценуваме </w:t>
      </w:r>
      <w:r w:rsidR="00F65EAB">
        <w:rPr>
          <w:rFonts w:ascii="Tahoma" w:hAnsi="Tahoma"/>
          <w:b/>
          <w:szCs w:val="22"/>
        </w:rPr>
        <w:t xml:space="preserve">натамошна доминација на </w:t>
      </w:r>
      <w:r w:rsidR="00F65EAB" w:rsidRPr="003E2968">
        <w:rPr>
          <w:rFonts w:ascii="Tahoma" w:hAnsi="Tahoma"/>
          <w:b/>
          <w:szCs w:val="22"/>
        </w:rPr>
        <w:t xml:space="preserve">надолните ризици </w:t>
      </w:r>
      <w:r w:rsidR="00A26B71" w:rsidRPr="003E2968">
        <w:rPr>
          <w:rFonts w:ascii="Tahoma" w:hAnsi="Tahoma"/>
          <w:b/>
          <w:szCs w:val="22"/>
        </w:rPr>
        <w:t>в</w:t>
      </w:r>
      <w:r w:rsidR="003E2968">
        <w:rPr>
          <w:rFonts w:ascii="Tahoma" w:hAnsi="Tahoma"/>
          <w:b/>
          <w:szCs w:val="22"/>
        </w:rPr>
        <w:t>о билансот на ризици околу</w:t>
      </w:r>
      <w:r w:rsidR="00A26B71" w:rsidRPr="003E2968">
        <w:rPr>
          <w:rFonts w:ascii="Tahoma" w:hAnsi="Tahoma"/>
          <w:b/>
          <w:szCs w:val="22"/>
        </w:rPr>
        <w:t xml:space="preserve"> проектираното движење на цените, </w:t>
      </w:r>
      <w:r w:rsidR="003E2968" w:rsidRPr="003E2968">
        <w:rPr>
          <w:rFonts w:ascii="Tahoma" w:hAnsi="Tahoma"/>
          <w:b/>
          <w:szCs w:val="22"/>
        </w:rPr>
        <w:t xml:space="preserve">иако </w:t>
      </w:r>
      <w:r w:rsidR="00A80F2D">
        <w:rPr>
          <w:rFonts w:ascii="Tahoma" w:hAnsi="Tahoma"/>
          <w:b/>
          <w:szCs w:val="22"/>
        </w:rPr>
        <w:t>тие</w:t>
      </w:r>
      <w:r w:rsidR="003E2968" w:rsidRPr="003E2968">
        <w:rPr>
          <w:rFonts w:ascii="Tahoma" w:hAnsi="Tahoma"/>
          <w:b/>
          <w:szCs w:val="22"/>
        </w:rPr>
        <w:t xml:space="preserve"> се помалку нагласени во однос на претходниот период. </w:t>
      </w:r>
    </w:p>
    <w:p w:rsidR="003E2968" w:rsidRPr="00A26B71" w:rsidRDefault="003E2968" w:rsidP="00A26B71">
      <w:pPr>
        <w:jc w:val="both"/>
        <w:rPr>
          <w:rFonts w:ascii="Tahoma" w:hAnsi="Tahoma"/>
          <w:b/>
        </w:rPr>
      </w:pPr>
    </w:p>
    <w:p w:rsidR="00A26B71" w:rsidRPr="00A26B71" w:rsidRDefault="00A26B71" w:rsidP="00C8323B">
      <w:pPr>
        <w:jc w:val="both"/>
        <w:rPr>
          <w:rFonts w:ascii="Tahoma" w:hAnsi="Tahoma"/>
        </w:rPr>
      </w:pPr>
      <w:r w:rsidRPr="00A26B71">
        <w:rPr>
          <w:rFonts w:ascii="Tahoma" w:hAnsi="Tahoma"/>
          <w:b/>
          <w:bCs/>
        </w:rPr>
        <w:t>Согласно со последните располож</w:t>
      </w:r>
      <w:r w:rsidR="009D278B">
        <w:rPr>
          <w:rFonts w:ascii="Tahoma" w:hAnsi="Tahoma"/>
          <w:b/>
          <w:bCs/>
        </w:rPr>
        <w:t>л</w:t>
      </w:r>
      <w:r w:rsidRPr="00A26B71">
        <w:rPr>
          <w:rFonts w:ascii="Tahoma" w:hAnsi="Tahoma"/>
          <w:b/>
          <w:bCs/>
        </w:rPr>
        <w:t xml:space="preserve">иви податоци за третиот квартал на 2014 година, </w:t>
      </w:r>
      <w:r w:rsidRPr="00A26B71">
        <w:rPr>
          <w:rFonts w:ascii="Tahoma" w:hAnsi="Tahoma"/>
          <w:b/>
        </w:rPr>
        <w:t xml:space="preserve">девизните резерви </w:t>
      </w:r>
      <w:r w:rsidRPr="00A26B71">
        <w:rPr>
          <w:rFonts w:ascii="Tahoma" w:hAnsi="Tahoma"/>
          <w:b/>
          <w:bCs/>
        </w:rPr>
        <w:t>(</w:t>
      </w:r>
      <w:r w:rsidR="009D278B">
        <w:rPr>
          <w:rFonts w:ascii="Tahoma" w:hAnsi="Tahoma"/>
          <w:b/>
          <w:bCs/>
        </w:rPr>
        <w:t>приспособени</w:t>
      </w:r>
      <w:r w:rsidR="009D278B" w:rsidRPr="00A26B71">
        <w:rPr>
          <w:rFonts w:ascii="Tahoma" w:hAnsi="Tahoma"/>
          <w:b/>
          <w:bCs/>
        </w:rPr>
        <w:t xml:space="preserve"> </w:t>
      </w:r>
      <w:r w:rsidRPr="00A26B71">
        <w:rPr>
          <w:rFonts w:ascii="Tahoma" w:hAnsi="Tahoma"/>
          <w:b/>
          <w:bCs/>
        </w:rPr>
        <w:t xml:space="preserve">за </w:t>
      </w:r>
      <w:proofErr w:type="spellStart"/>
      <w:r w:rsidRPr="00A26B71">
        <w:rPr>
          <w:rFonts w:ascii="Tahoma" w:hAnsi="Tahoma"/>
          <w:b/>
          <w:bCs/>
        </w:rPr>
        <w:t>ценовни</w:t>
      </w:r>
      <w:r w:rsidR="009D278B">
        <w:rPr>
          <w:rFonts w:ascii="Tahoma" w:hAnsi="Tahoma"/>
          <w:b/>
          <w:bCs/>
        </w:rPr>
        <w:t>те</w:t>
      </w:r>
      <w:proofErr w:type="spellEnd"/>
      <w:r w:rsidRPr="00A26B71">
        <w:rPr>
          <w:rFonts w:ascii="Tahoma" w:hAnsi="Tahoma"/>
          <w:b/>
          <w:bCs/>
        </w:rPr>
        <w:t xml:space="preserve"> и </w:t>
      </w:r>
      <w:proofErr w:type="spellStart"/>
      <w:r w:rsidRPr="00A26B71">
        <w:rPr>
          <w:rFonts w:ascii="Tahoma" w:hAnsi="Tahoma"/>
          <w:b/>
          <w:bCs/>
        </w:rPr>
        <w:t>курсни</w:t>
      </w:r>
      <w:r w:rsidR="009D278B">
        <w:rPr>
          <w:rFonts w:ascii="Tahoma" w:hAnsi="Tahoma"/>
          <w:b/>
          <w:bCs/>
        </w:rPr>
        <w:t>те</w:t>
      </w:r>
      <w:proofErr w:type="spellEnd"/>
      <w:r w:rsidRPr="00A26B71">
        <w:rPr>
          <w:rFonts w:ascii="Tahoma" w:hAnsi="Tahoma"/>
          <w:b/>
          <w:bCs/>
        </w:rPr>
        <w:t xml:space="preserve"> разлики и </w:t>
      </w:r>
      <w:proofErr w:type="spellStart"/>
      <w:r w:rsidRPr="00A26B71">
        <w:rPr>
          <w:rFonts w:ascii="Tahoma" w:hAnsi="Tahoma"/>
          <w:b/>
          <w:bCs/>
        </w:rPr>
        <w:t>ценовни</w:t>
      </w:r>
      <w:r w:rsidR="009D278B">
        <w:rPr>
          <w:rFonts w:ascii="Tahoma" w:hAnsi="Tahoma"/>
          <w:b/>
          <w:bCs/>
        </w:rPr>
        <w:t>те</w:t>
      </w:r>
      <w:proofErr w:type="spellEnd"/>
      <w:r w:rsidRPr="00A26B71">
        <w:rPr>
          <w:rFonts w:ascii="Tahoma" w:hAnsi="Tahoma"/>
          <w:b/>
          <w:bCs/>
        </w:rPr>
        <w:t xml:space="preserve"> промени на хартиите од вредност) забележаа раст, </w:t>
      </w:r>
      <w:r w:rsidR="009D278B">
        <w:rPr>
          <w:rFonts w:ascii="Tahoma" w:hAnsi="Tahoma"/>
          <w:b/>
          <w:bCs/>
        </w:rPr>
        <w:t xml:space="preserve">кој беше посилен </w:t>
      </w:r>
      <w:r w:rsidRPr="00A26B71">
        <w:rPr>
          <w:rFonts w:ascii="Tahoma" w:hAnsi="Tahoma"/>
          <w:b/>
          <w:bCs/>
        </w:rPr>
        <w:t xml:space="preserve">во однос на априлската проекција. </w:t>
      </w:r>
      <w:r w:rsidRPr="00A26B71">
        <w:rPr>
          <w:rFonts w:ascii="Tahoma" w:hAnsi="Tahoma"/>
          <w:bCs/>
        </w:rPr>
        <w:t>Во најголем дел</w:t>
      </w:r>
      <w:r w:rsidR="009D278B">
        <w:rPr>
          <w:rFonts w:ascii="Tahoma" w:hAnsi="Tahoma"/>
          <w:bCs/>
        </w:rPr>
        <w:t>,</w:t>
      </w:r>
      <w:r w:rsidRPr="00A26B71">
        <w:rPr>
          <w:rFonts w:ascii="Tahoma" w:hAnsi="Tahoma"/>
          <w:bCs/>
        </w:rPr>
        <w:t xml:space="preserve"> ова зголемување е последица на задолжувањето на државата на надворешниот пазар, што не беше вклучено како претпоставка во проекциите за 2014 година. </w:t>
      </w:r>
      <w:r w:rsidR="009D278B">
        <w:rPr>
          <w:rFonts w:ascii="Tahoma" w:hAnsi="Tahoma"/>
          <w:b/>
          <w:bCs/>
        </w:rPr>
        <w:t>Доколку се</w:t>
      </w:r>
      <w:r w:rsidRPr="00A26B71">
        <w:rPr>
          <w:rFonts w:ascii="Tahoma" w:hAnsi="Tahoma"/>
          <w:b/>
          <w:bCs/>
        </w:rPr>
        <w:t xml:space="preserve"> исклуч</w:t>
      </w:r>
      <w:r w:rsidR="009D278B">
        <w:rPr>
          <w:rFonts w:ascii="Tahoma" w:hAnsi="Tahoma"/>
          <w:b/>
          <w:bCs/>
        </w:rPr>
        <w:t>и</w:t>
      </w:r>
      <w:r w:rsidRPr="00A26B71">
        <w:rPr>
          <w:rFonts w:ascii="Tahoma" w:hAnsi="Tahoma"/>
          <w:b/>
          <w:bCs/>
        </w:rPr>
        <w:t xml:space="preserve"> ефектот од задолжувањето на државата, девизните резерви бележат умерен раст, при поволни движења на девизниот пазар и интервенции со откуп на девизи.</w:t>
      </w:r>
      <w:r w:rsidRPr="00A26B71">
        <w:rPr>
          <w:rFonts w:ascii="Tahoma" w:hAnsi="Tahoma"/>
          <w:bCs/>
        </w:rPr>
        <w:t xml:space="preserve"> </w:t>
      </w:r>
      <w:r w:rsidR="00C8323B">
        <w:rPr>
          <w:rFonts w:ascii="Tahoma" w:hAnsi="Tahoma"/>
          <w:bCs/>
        </w:rPr>
        <w:t>Б</w:t>
      </w:r>
      <w:r w:rsidRPr="00A26B71">
        <w:rPr>
          <w:rFonts w:ascii="Tahoma" w:hAnsi="Tahoma"/>
        </w:rPr>
        <w:t>ројот на располож</w:t>
      </w:r>
      <w:r w:rsidR="009D278B">
        <w:rPr>
          <w:rFonts w:ascii="Tahoma" w:hAnsi="Tahoma"/>
        </w:rPr>
        <w:t>л</w:t>
      </w:r>
      <w:r w:rsidRPr="00A26B71">
        <w:rPr>
          <w:rFonts w:ascii="Tahoma" w:hAnsi="Tahoma"/>
        </w:rPr>
        <w:t xml:space="preserve">иви </w:t>
      </w:r>
      <w:r w:rsidR="009D278B">
        <w:rPr>
          <w:rFonts w:ascii="Tahoma" w:hAnsi="Tahoma"/>
        </w:rPr>
        <w:t>показатели</w:t>
      </w:r>
      <w:r w:rsidR="009D278B" w:rsidRPr="00A26B71">
        <w:rPr>
          <w:rFonts w:ascii="Tahoma" w:hAnsi="Tahoma"/>
        </w:rPr>
        <w:t xml:space="preserve"> </w:t>
      </w:r>
      <w:r w:rsidRPr="00A26B71">
        <w:rPr>
          <w:rFonts w:ascii="Tahoma" w:hAnsi="Tahoma"/>
        </w:rPr>
        <w:t xml:space="preserve">за надворешниот сектор </w:t>
      </w:r>
      <w:proofErr w:type="spellStart"/>
      <w:r w:rsidRPr="00A26B71">
        <w:rPr>
          <w:rFonts w:ascii="Tahoma" w:hAnsi="Tahoma"/>
        </w:rPr>
        <w:t>сѐ</w:t>
      </w:r>
      <w:proofErr w:type="spellEnd"/>
      <w:r w:rsidRPr="00A26B71">
        <w:rPr>
          <w:rFonts w:ascii="Tahoma" w:hAnsi="Tahoma"/>
        </w:rPr>
        <w:t xml:space="preserve"> уште е ограничен, оневозможувајќи прецизно </w:t>
      </w:r>
      <w:r w:rsidR="009D278B">
        <w:rPr>
          <w:rFonts w:ascii="Tahoma" w:hAnsi="Tahoma"/>
        </w:rPr>
        <w:t>утврдување</w:t>
      </w:r>
      <w:r w:rsidR="009D278B" w:rsidRPr="00A26B71">
        <w:rPr>
          <w:rFonts w:ascii="Tahoma" w:hAnsi="Tahoma"/>
        </w:rPr>
        <w:t xml:space="preserve"> </w:t>
      </w:r>
      <w:r w:rsidRPr="00A26B71">
        <w:rPr>
          <w:rFonts w:ascii="Tahoma" w:hAnsi="Tahoma"/>
        </w:rPr>
        <w:t xml:space="preserve">на факторите за промените во девизните резерви. Од показателите за надворешниот сектор, </w:t>
      </w:r>
      <w:r w:rsidR="00211AEF">
        <w:rPr>
          <w:rFonts w:ascii="Tahoma" w:hAnsi="Tahoma"/>
        </w:rPr>
        <w:t xml:space="preserve">единствените расположливи податоци </w:t>
      </w:r>
      <w:r w:rsidRPr="00A26B71">
        <w:rPr>
          <w:rFonts w:ascii="Tahoma" w:hAnsi="Tahoma"/>
        </w:rPr>
        <w:t xml:space="preserve">за третиот квартал се податоците за </w:t>
      </w:r>
      <w:proofErr w:type="spellStart"/>
      <w:r w:rsidRPr="00A26B71">
        <w:rPr>
          <w:rFonts w:ascii="Tahoma" w:hAnsi="Tahoma"/>
        </w:rPr>
        <w:t>нето-откупот</w:t>
      </w:r>
      <w:proofErr w:type="spellEnd"/>
      <w:r w:rsidRPr="00A26B71">
        <w:rPr>
          <w:rFonts w:ascii="Tahoma" w:hAnsi="Tahoma"/>
        </w:rPr>
        <w:t xml:space="preserve"> од менувачко</w:t>
      </w:r>
      <w:r w:rsidR="00211AEF">
        <w:rPr>
          <w:rFonts w:ascii="Tahoma" w:hAnsi="Tahoma"/>
        </w:rPr>
        <w:t xml:space="preserve">то </w:t>
      </w:r>
      <w:r w:rsidRPr="00A26B71">
        <w:rPr>
          <w:rFonts w:ascii="Tahoma" w:hAnsi="Tahoma"/>
        </w:rPr>
        <w:t>работење</w:t>
      </w:r>
      <w:r w:rsidR="00C8323B">
        <w:rPr>
          <w:rFonts w:ascii="Tahoma" w:hAnsi="Tahoma"/>
        </w:rPr>
        <w:t xml:space="preserve"> во  </w:t>
      </w:r>
      <w:r w:rsidRPr="00A26B71">
        <w:rPr>
          <w:rFonts w:ascii="Tahoma" w:hAnsi="Tahoma"/>
        </w:rPr>
        <w:t xml:space="preserve">јули, коишто засега упатуваат </w:t>
      </w:r>
      <w:r w:rsidR="00C8323B">
        <w:rPr>
          <w:rFonts w:ascii="Tahoma" w:hAnsi="Tahoma"/>
        </w:rPr>
        <w:t xml:space="preserve">на движење на </w:t>
      </w:r>
      <w:r w:rsidRPr="00A26B71">
        <w:rPr>
          <w:rFonts w:ascii="Tahoma" w:hAnsi="Tahoma"/>
        </w:rPr>
        <w:t>приватните трансфери</w:t>
      </w:r>
      <w:r w:rsidR="00C8323B">
        <w:rPr>
          <w:rFonts w:ascii="Tahoma" w:hAnsi="Tahoma"/>
        </w:rPr>
        <w:t xml:space="preserve"> во проектираните рамки</w:t>
      </w:r>
      <w:r w:rsidRPr="00A26B71">
        <w:rPr>
          <w:rFonts w:ascii="Tahoma" w:hAnsi="Tahoma"/>
        </w:rPr>
        <w:t>. Останатите податоци за надворешниот сектор</w:t>
      </w:r>
      <w:r w:rsidR="008C0C8B">
        <w:rPr>
          <w:rFonts w:ascii="Tahoma" w:hAnsi="Tahoma"/>
        </w:rPr>
        <w:t xml:space="preserve"> се однесуваат на периодот мај/</w:t>
      </w:r>
      <w:r w:rsidRPr="00A26B71">
        <w:rPr>
          <w:rFonts w:ascii="Tahoma" w:hAnsi="Tahoma"/>
        </w:rPr>
        <w:t xml:space="preserve">јуни и </w:t>
      </w:r>
      <w:r w:rsidR="00211AEF">
        <w:rPr>
          <w:rFonts w:ascii="Tahoma" w:hAnsi="Tahoma"/>
        </w:rPr>
        <w:t>навестуваат</w:t>
      </w:r>
      <w:r w:rsidRPr="00A26B71">
        <w:rPr>
          <w:rFonts w:ascii="Tahoma" w:hAnsi="Tahoma"/>
        </w:rPr>
        <w:t xml:space="preserve"> помал дефицит во тековната сметка во однос на очекувањата,</w:t>
      </w:r>
      <w:r w:rsidRPr="00A26B71">
        <w:rPr>
          <w:rFonts w:ascii="Tahoma" w:hAnsi="Tahoma"/>
          <w:bCs/>
        </w:rPr>
        <w:t xml:space="preserve"> заради послабите увозни притисоци. Од друга страна, тековите во </w:t>
      </w:r>
      <w:proofErr w:type="spellStart"/>
      <w:r w:rsidRPr="00A26B71">
        <w:rPr>
          <w:rFonts w:ascii="Tahoma" w:hAnsi="Tahoma"/>
          <w:bCs/>
        </w:rPr>
        <w:t>капитално-финансиската</w:t>
      </w:r>
      <w:proofErr w:type="spellEnd"/>
      <w:r w:rsidRPr="00A26B71">
        <w:rPr>
          <w:rFonts w:ascii="Tahoma" w:hAnsi="Tahoma"/>
          <w:bCs/>
        </w:rPr>
        <w:t xml:space="preserve"> сметка упатуваат на можн</w:t>
      </w:r>
      <w:r w:rsidR="00211AEF">
        <w:rPr>
          <w:rFonts w:ascii="Tahoma" w:hAnsi="Tahoma"/>
          <w:bCs/>
        </w:rPr>
        <w:t>о</w:t>
      </w:r>
      <w:r w:rsidRPr="00A26B71">
        <w:rPr>
          <w:rFonts w:ascii="Tahoma" w:hAnsi="Tahoma"/>
          <w:bCs/>
        </w:rPr>
        <w:t xml:space="preserve"> послаби остварувања. Сепак, вкупната позиција на билансот на плаќања за овој период, </w:t>
      </w:r>
      <w:r w:rsidR="00211AEF">
        <w:rPr>
          <w:rFonts w:ascii="Tahoma" w:hAnsi="Tahoma"/>
          <w:bCs/>
        </w:rPr>
        <w:t xml:space="preserve">главно </w:t>
      </w:r>
      <w:r w:rsidR="00B611A8">
        <w:rPr>
          <w:rFonts w:ascii="Tahoma" w:hAnsi="Tahoma"/>
          <w:bCs/>
        </w:rPr>
        <w:t>е во проектираните рамки.</w:t>
      </w:r>
      <w:r w:rsidR="00C8323B">
        <w:rPr>
          <w:rFonts w:ascii="Tahoma" w:hAnsi="Tahoma"/>
          <w:bCs/>
        </w:rPr>
        <w:t xml:space="preserve"> </w:t>
      </w:r>
      <w:r w:rsidRPr="00A26B71">
        <w:rPr>
          <w:rFonts w:ascii="Tahoma" w:hAnsi="Tahoma"/>
          <w:szCs w:val="22"/>
        </w:rPr>
        <w:t xml:space="preserve">Анализата на показателите на адекватност на девизните резерви покажува дека тие и понатаму се движат во сигурна зона. </w:t>
      </w:r>
      <w:r w:rsidRPr="00A26B71">
        <w:rPr>
          <w:rFonts w:ascii="Tahoma" w:hAnsi="Tahoma"/>
          <w:b/>
          <w:szCs w:val="22"/>
        </w:rPr>
        <w:t xml:space="preserve">Сигналите што </w:t>
      </w:r>
      <w:r w:rsidR="00211AEF" w:rsidRPr="00A26B71">
        <w:rPr>
          <w:rFonts w:ascii="Tahoma" w:hAnsi="Tahoma"/>
          <w:b/>
          <w:bCs/>
        </w:rPr>
        <w:t xml:space="preserve">ги даваат </w:t>
      </w:r>
      <w:r w:rsidRPr="00A26B71">
        <w:rPr>
          <w:rFonts w:ascii="Tahoma" w:hAnsi="Tahoma"/>
          <w:b/>
          <w:bCs/>
        </w:rPr>
        <w:t>високофреквентни</w:t>
      </w:r>
      <w:r w:rsidR="00211AEF">
        <w:rPr>
          <w:rFonts w:ascii="Tahoma" w:hAnsi="Tahoma"/>
          <w:b/>
          <w:bCs/>
        </w:rPr>
        <w:t>те</w:t>
      </w:r>
      <w:r w:rsidRPr="00A26B71">
        <w:rPr>
          <w:rFonts w:ascii="Tahoma" w:hAnsi="Tahoma"/>
          <w:b/>
          <w:bCs/>
        </w:rPr>
        <w:t xml:space="preserve"> индикатори за економската активност за второто тримесечје се поволни</w:t>
      </w:r>
      <w:r w:rsidR="00211AEF">
        <w:rPr>
          <w:rFonts w:ascii="Tahoma" w:hAnsi="Tahoma"/>
          <w:b/>
          <w:bCs/>
        </w:rPr>
        <w:t xml:space="preserve"> </w:t>
      </w:r>
      <w:r w:rsidR="00211AEF">
        <w:rPr>
          <w:rFonts w:ascii="Tahoma" w:hAnsi="Tahoma"/>
          <w:bCs/>
        </w:rPr>
        <w:t xml:space="preserve">и </w:t>
      </w:r>
      <w:r w:rsidRPr="00A26B71">
        <w:rPr>
          <w:rFonts w:ascii="Tahoma" w:hAnsi="Tahoma"/>
        </w:rPr>
        <w:t xml:space="preserve">укажуваат на задржување на позитивните трендови, </w:t>
      </w:r>
      <w:r w:rsidR="00995251">
        <w:rPr>
          <w:rFonts w:ascii="Tahoma" w:hAnsi="Tahoma"/>
        </w:rPr>
        <w:t>а</w:t>
      </w:r>
      <w:r w:rsidR="00266366">
        <w:rPr>
          <w:rFonts w:ascii="Tahoma" w:hAnsi="Tahoma"/>
        </w:rPr>
        <w:t xml:space="preserve"> во некои од клучните сектори (индустријата и трговијата) </w:t>
      </w:r>
      <w:r w:rsidRPr="00A26B71">
        <w:rPr>
          <w:rFonts w:ascii="Tahoma" w:hAnsi="Tahoma"/>
        </w:rPr>
        <w:t>постои можност остварувањата да бидат подобр</w:t>
      </w:r>
      <w:r w:rsidR="00C0577B">
        <w:rPr>
          <w:rFonts w:ascii="Tahoma" w:hAnsi="Tahoma"/>
        </w:rPr>
        <w:t xml:space="preserve">и во однос на првото тримесечје. </w:t>
      </w:r>
      <w:r w:rsidR="00C0577B" w:rsidRPr="00C0577B">
        <w:rPr>
          <w:rFonts w:ascii="Tahoma" w:hAnsi="Tahoma"/>
          <w:b/>
        </w:rPr>
        <w:t>Во однос на монетарните движења,</w:t>
      </w:r>
      <w:r w:rsidR="00C8323B">
        <w:rPr>
          <w:rFonts w:ascii="Tahoma" w:hAnsi="Tahoma"/>
        </w:rPr>
        <w:t xml:space="preserve"> </w:t>
      </w:r>
      <w:r w:rsidR="00C8323B">
        <w:rPr>
          <w:rFonts w:ascii="Tahoma" w:hAnsi="Tahoma"/>
          <w:b/>
        </w:rPr>
        <w:t>п</w:t>
      </w:r>
      <w:r w:rsidRPr="00A26B71">
        <w:rPr>
          <w:rFonts w:ascii="Tahoma" w:hAnsi="Tahoma"/>
          <w:b/>
        </w:rPr>
        <w:t xml:space="preserve">оследните </w:t>
      </w:r>
      <w:r w:rsidR="003D5862">
        <w:rPr>
          <w:rFonts w:ascii="Tahoma" w:hAnsi="Tahoma"/>
          <w:b/>
        </w:rPr>
        <w:t>податоци</w:t>
      </w:r>
      <w:r w:rsidR="00C8323B">
        <w:rPr>
          <w:rFonts w:ascii="Tahoma" w:hAnsi="Tahoma"/>
          <w:b/>
        </w:rPr>
        <w:t xml:space="preserve"> </w:t>
      </w:r>
      <w:r w:rsidR="003D5862">
        <w:rPr>
          <w:rFonts w:ascii="Tahoma" w:hAnsi="Tahoma"/>
          <w:b/>
        </w:rPr>
        <w:t xml:space="preserve">за </w:t>
      </w:r>
      <w:r w:rsidRPr="00A26B71">
        <w:rPr>
          <w:rFonts w:ascii="Tahoma" w:hAnsi="Tahoma"/>
          <w:b/>
        </w:rPr>
        <w:t>кредитниот пазар за јуни</w:t>
      </w:r>
      <w:r w:rsidRPr="00A26B71">
        <w:rPr>
          <w:rFonts w:ascii="Tahoma" w:hAnsi="Tahoma"/>
        </w:rPr>
        <w:t xml:space="preserve"> покажуваат задржување на солидниот раст на кредитните текови. Годишната стапка на раст на кредитите достигна 8,5% (наспроти проектираните 7,3% за крајот на вториот квартал), при стабилизирање на </w:t>
      </w:r>
      <w:r w:rsidR="00866BA2">
        <w:rPr>
          <w:rFonts w:ascii="Tahoma" w:hAnsi="Tahoma"/>
        </w:rPr>
        <w:t>согледувањата</w:t>
      </w:r>
      <w:r w:rsidR="00866BA2" w:rsidRPr="00A26B71">
        <w:rPr>
          <w:rFonts w:ascii="Tahoma" w:hAnsi="Tahoma"/>
        </w:rPr>
        <w:t xml:space="preserve"> </w:t>
      </w:r>
      <w:r w:rsidRPr="00A26B71">
        <w:rPr>
          <w:rFonts w:ascii="Tahoma" w:hAnsi="Tahoma"/>
        </w:rPr>
        <w:t xml:space="preserve">за ризик. Од друга страна, </w:t>
      </w:r>
      <w:r w:rsidR="00866BA2">
        <w:rPr>
          <w:rFonts w:ascii="Tahoma" w:hAnsi="Tahoma"/>
        </w:rPr>
        <w:t>кај</w:t>
      </w:r>
      <w:r w:rsidRPr="00A26B71">
        <w:rPr>
          <w:rFonts w:ascii="Tahoma" w:hAnsi="Tahoma"/>
        </w:rPr>
        <w:t xml:space="preserve"> штедењето е </w:t>
      </w:r>
      <w:r w:rsidR="00866BA2">
        <w:rPr>
          <w:rFonts w:ascii="Tahoma" w:hAnsi="Tahoma"/>
        </w:rPr>
        <w:t xml:space="preserve">забележан </w:t>
      </w:r>
      <w:r w:rsidRPr="00A26B71">
        <w:rPr>
          <w:rFonts w:ascii="Tahoma" w:hAnsi="Tahoma"/>
        </w:rPr>
        <w:t xml:space="preserve">послаб </w:t>
      </w:r>
      <w:r w:rsidR="00866BA2">
        <w:rPr>
          <w:rFonts w:ascii="Tahoma" w:hAnsi="Tahoma"/>
        </w:rPr>
        <w:t xml:space="preserve">раст </w:t>
      </w:r>
      <w:r w:rsidRPr="00A26B71">
        <w:rPr>
          <w:rFonts w:ascii="Tahoma" w:hAnsi="Tahoma"/>
        </w:rPr>
        <w:t>од проектираниот</w:t>
      </w:r>
      <w:r w:rsidR="00866BA2">
        <w:rPr>
          <w:rFonts w:ascii="Tahoma" w:hAnsi="Tahoma"/>
        </w:rPr>
        <w:t>,</w:t>
      </w:r>
      <w:r w:rsidRPr="00A26B71">
        <w:rPr>
          <w:rFonts w:ascii="Tahoma" w:hAnsi="Tahoma"/>
        </w:rPr>
        <w:t xml:space="preserve"> </w:t>
      </w:r>
      <w:r w:rsidR="00866BA2">
        <w:rPr>
          <w:rFonts w:ascii="Tahoma" w:hAnsi="Tahoma"/>
        </w:rPr>
        <w:t xml:space="preserve">што </w:t>
      </w:r>
      <w:r w:rsidRPr="00A26B71">
        <w:rPr>
          <w:rFonts w:ascii="Tahoma" w:hAnsi="Tahoma"/>
        </w:rPr>
        <w:t xml:space="preserve">може да претставува потенцијален </w:t>
      </w:r>
      <w:r w:rsidR="00866BA2">
        <w:rPr>
          <w:rFonts w:ascii="Tahoma" w:hAnsi="Tahoma"/>
        </w:rPr>
        <w:t>фактор на ризик</w:t>
      </w:r>
      <w:r w:rsidRPr="00A26B71">
        <w:rPr>
          <w:rFonts w:ascii="Tahoma" w:hAnsi="Tahoma"/>
        </w:rPr>
        <w:t xml:space="preserve"> за одржување на  досегашната сол</w:t>
      </w:r>
      <w:r w:rsidR="00156F65">
        <w:rPr>
          <w:rFonts w:ascii="Tahoma" w:hAnsi="Tahoma"/>
        </w:rPr>
        <w:t xml:space="preserve">идна динамика на кредитен раст. </w:t>
      </w:r>
      <w:r w:rsidRPr="00A26B71">
        <w:rPr>
          <w:rFonts w:ascii="Tahoma" w:hAnsi="Tahoma"/>
        </w:rPr>
        <w:t xml:space="preserve">Најновите оцени за нивото на </w:t>
      </w:r>
      <w:r w:rsidRPr="00A26B71">
        <w:rPr>
          <w:rFonts w:ascii="Tahoma" w:hAnsi="Tahoma"/>
          <w:b/>
          <w:bCs/>
        </w:rPr>
        <w:t xml:space="preserve">каматната стапка </w:t>
      </w:r>
      <w:r w:rsidR="00284BC5" w:rsidRPr="00A26B71">
        <w:rPr>
          <w:rFonts w:ascii="Tahoma" w:hAnsi="Tahoma"/>
          <w:b/>
          <w:bCs/>
        </w:rPr>
        <w:t>ЕУРИБОР</w:t>
      </w:r>
      <w:r w:rsidR="00284BC5">
        <w:rPr>
          <w:rFonts w:ascii="Tahoma" w:hAnsi="Tahoma"/>
          <w:b/>
          <w:bCs/>
        </w:rPr>
        <w:t xml:space="preserve"> </w:t>
      </w:r>
      <w:r w:rsidRPr="00A26B71">
        <w:rPr>
          <w:rFonts w:ascii="Tahoma" w:hAnsi="Tahoma"/>
          <w:b/>
          <w:bCs/>
        </w:rPr>
        <w:t>укажуваат на пониско ниво во 2014 година во однос на априлската проекција, при позначајно надолно ревидирање на очекувањата за 2015 година.</w:t>
      </w:r>
    </w:p>
    <w:p w:rsidR="00A26B71" w:rsidRPr="00A26B71" w:rsidRDefault="00A26B71" w:rsidP="00A26B71">
      <w:pPr>
        <w:jc w:val="both"/>
        <w:rPr>
          <w:rFonts w:ascii="Tahoma" w:hAnsi="Tahoma"/>
        </w:rPr>
      </w:pPr>
    </w:p>
    <w:p w:rsidR="00A26B71" w:rsidRPr="00A26B71" w:rsidRDefault="00A26B71" w:rsidP="00A26B71">
      <w:pPr>
        <w:tabs>
          <w:tab w:val="left" w:pos="993"/>
        </w:tabs>
        <w:ind w:right="-12"/>
        <w:jc w:val="both"/>
        <w:rPr>
          <w:rFonts w:ascii="Tahoma" w:hAnsi="Tahoma"/>
          <w:bCs/>
          <w:iCs/>
        </w:rPr>
      </w:pPr>
      <w:r w:rsidRPr="00A26B71">
        <w:rPr>
          <w:rFonts w:ascii="Tahoma" w:hAnsi="Tahoma"/>
          <w:b/>
          <w:bCs/>
          <w:i/>
          <w:iCs/>
        </w:rPr>
        <w:t xml:space="preserve">Последните макроекономски показатели и оцени не упатуваат на поголеми промени во констатациите за амбиентот и ризиците во однос на оцените дадени во рамки на априлските проекции. </w:t>
      </w:r>
      <w:r w:rsidRPr="00A26B71">
        <w:rPr>
          <w:rFonts w:ascii="Tahoma" w:hAnsi="Tahoma"/>
          <w:bCs/>
          <w:iCs/>
        </w:rPr>
        <w:t>Девизните резерви умерено растат (без ефектите</w:t>
      </w:r>
      <w:r w:rsidR="00F34386">
        <w:rPr>
          <w:rFonts w:ascii="Tahoma" w:hAnsi="Tahoma"/>
          <w:bCs/>
          <w:iCs/>
        </w:rPr>
        <w:t xml:space="preserve"> од задолжувањето на државата) </w:t>
      </w:r>
      <w:r w:rsidR="00DF02BD">
        <w:rPr>
          <w:rFonts w:ascii="Tahoma" w:hAnsi="Tahoma"/>
          <w:bCs/>
          <w:iCs/>
        </w:rPr>
        <w:t xml:space="preserve">и ја следат </w:t>
      </w:r>
      <w:r w:rsidRPr="00A26B71">
        <w:rPr>
          <w:rFonts w:ascii="Tahoma" w:hAnsi="Tahoma"/>
          <w:bCs/>
          <w:iCs/>
        </w:rPr>
        <w:t>проектираната патека за третото тримесечје. Анализирано преку</w:t>
      </w:r>
      <w:r w:rsidRPr="00A26B71">
        <w:rPr>
          <w:rFonts w:ascii="Tahoma" w:hAnsi="Tahoma"/>
          <w:szCs w:val="22"/>
        </w:rPr>
        <w:t xml:space="preserve"> показателите на адекватност на девизните резерви, тие и понатаму се движат во сигурна зона</w:t>
      </w:r>
      <w:r w:rsidRPr="00A26B71">
        <w:rPr>
          <w:rFonts w:ascii="Tahoma" w:hAnsi="Tahoma"/>
          <w:bCs/>
          <w:iCs/>
        </w:rPr>
        <w:t>. Сепак, треба да се има предвид дека ризиците од надворешното окружување и понатаму остануваат неповолни</w:t>
      </w:r>
      <w:r w:rsidR="00A80F2D">
        <w:rPr>
          <w:rFonts w:ascii="Tahoma" w:hAnsi="Tahoma"/>
          <w:bCs/>
          <w:iCs/>
        </w:rPr>
        <w:t xml:space="preserve">, коишто  </w:t>
      </w:r>
      <w:r w:rsidRPr="00A26B71">
        <w:rPr>
          <w:rFonts w:ascii="Tahoma" w:hAnsi="Tahoma"/>
          <w:bCs/>
          <w:iCs/>
        </w:rPr>
        <w:t xml:space="preserve">дополнително се нагласуваат со политичката криза помеѓу Русија </w:t>
      </w:r>
      <w:r w:rsidRPr="00A26B71">
        <w:rPr>
          <w:rFonts w:ascii="Tahoma" w:hAnsi="Tahoma"/>
          <w:bCs/>
          <w:iCs/>
        </w:rPr>
        <w:lastRenderedPageBreak/>
        <w:t xml:space="preserve">и САД/ЕУ, што може да </w:t>
      </w:r>
      <w:r w:rsidR="00E02E73">
        <w:rPr>
          <w:rFonts w:ascii="Tahoma" w:hAnsi="Tahoma"/>
          <w:bCs/>
          <w:iCs/>
        </w:rPr>
        <w:t xml:space="preserve">се одрази и </w:t>
      </w:r>
      <w:r w:rsidRPr="00A26B71">
        <w:rPr>
          <w:rFonts w:ascii="Tahoma" w:hAnsi="Tahoma"/>
          <w:bCs/>
          <w:iCs/>
        </w:rPr>
        <w:t xml:space="preserve">врз </w:t>
      </w:r>
      <w:r w:rsidR="00F77AFE">
        <w:rPr>
          <w:rFonts w:ascii="Tahoma" w:hAnsi="Tahoma"/>
          <w:bCs/>
          <w:iCs/>
        </w:rPr>
        <w:t xml:space="preserve">економскиот раст </w:t>
      </w:r>
      <w:r w:rsidRPr="00A26B71">
        <w:rPr>
          <w:rFonts w:ascii="Tahoma" w:hAnsi="Tahoma"/>
          <w:bCs/>
          <w:iCs/>
        </w:rPr>
        <w:t xml:space="preserve">и врз дел од цените на примарните производи. Инфлацијата и во јули отстапува од проектираната патека и укажува на помали </w:t>
      </w:r>
      <w:proofErr w:type="spellStart"/>
      <w:r w:rsidRPr="00A26B71">
        <w:rPr>
          <w:rFonts w:ascii="Tahoma" w:hAnsi="Tahoma"/>
          <w:bCs/>
          <w:iCs/>
        </w:rPr>
        <w:t>ценовни</w:t>
      </w:r>
      <w:proofErr w:type="spellEnd"/>
      <w:r w:rsidRPr="00A26B71">
        <w:rPr>
          <w:rFonts w:ascii="Tahoma" w:hAnsi="Tahoma"/>
          <w:bCs/>
          <w:iCs/>
        </w:rPr>
        <w:t xml:space="preserve"> притисоци од очекуваните. </w:t>
      </w:r>
      <w:r w:rsidRPr="00A26B71">
        <w:rPr>
          <w:rFonts w:ascii="Tahoma" w:hAnsi="Tahoma"/>
        </w:rPr>
        <w:t xml:space="preserve">Ризиците околу проекцијата на инфлацијата и натаму се оценуваат како </w:t>
      </w:r>
      <w:r w:rsidR="00C748BF">
        <w:rPr>
          <w:rFonts w:ascii="Tahoma" w:hAnsi="Tahoma"/>
        </w:rPr>
        <w:t>претежно</w:t>
      </w:r>
      <w:r w:rsidR="00C748BF" w:rsidRPr="00A26B71">
        <w:rPr>
          <w:rFonts w:ascii="Tahoma" w:hAnsi="Tahoma"/>
        </w:rPr>
        <w:t xml:space="preserve"> </w:t>
      </w:r>
      <w:r w:rsidRPr="00A26B71">
        <w:rPr>
          <w:rFonts w:ascii="Tahoma" w:hAnsi="Tahoma"/>
        </w:rPr>
        <w:t>надолни</w:t>
      </w:r>
      <w:r w:rsidR="00C748BF">
        <w:rPr>
          <w:rFonts w:ascii="Tahoma" w:hAnsi="Tahoma"/>
        </w:rPr>
        <w:t>, иако се утврдени</w:t>
      </w:r>
      <w:r w:rsidRPr="00A26B71">
        <w:rPr>
          <w:rFonts w:ascii="Tahoma" w:hAnsi="Tahoma"/>
        </w:rPr>
        <w:t xml:space="preserve"> и нагорни ризици поврзани со домашни и надворешни фактори коишто би можеле да предизвикаат нестабилност и појава на поголеми </w:t>
      </w:r>
      <w:proofErr w:type="spellStart"/>
      <w:r w:rsidRPr="00A26B71">
        <w:rPr>
          <w:rFonts w:ascii="Tahoma" w:hAnsi="Tahoma"/>
        </w:rPr>
        <w:t>ценовни</w:t>
      </w:r>
      <w:proofErr w:type="spellEnd"/>
      <w:r w:rsidRPr="00A26B71">
        <w:rPr>
          <w:rFonts w:ascii="Tahoma" w:hAnsi="Tahoma"/>
        </w:rPr>
        <w:t xml:space="preserve"> шокови, кои</w:t>
      </w:r>
      <w:r w:rsidR="00410867">
        <w:rPr>
          <w:rFonts w:ascii="Tahoma" w:hAnsi="Tahoma"/>
        </w:rPr>
        <w:t xml:space="preserve">што </w:t>
      </w:r>
      <w:r w:rsidRPr="00A26B71">
        <w:rPr>
          <w:rFonts w:ascii="Tahoma" w:hAnsi="Tahoma"/>
        </w:rPr>
        <w:t xml:space="preserve">би се </w:t>
      </w:r>
      <w:r w:rsidR="00C748BF">
        <w:rPr>
          <w:rFonts w:ascii="Tahoma" w:hAnsi="Tahoma"/>
        </w:rPr>
        <w:t>одразиле</w:t>
      </w:r>
      <w:r w:rsidR="00C748BF" w:rsidRPr="00A26B71">
        <w:rPr>
          <w:rFonts w:ascii="Tahoma" w:hAnsi="Tahoma"/>
        </w:rPr>
        <w:t xml:space="preserve"> </w:t>
      </w:r>
      <w:r w:rsidRPr="00A26B71">
        <w:rPr>
          <w:rFonts w:ascii="Tahoma" w:hAnsi="Tahoma"/>
        </w:rPr>
        <w:t xml:space="preserve">врз идната инфлација. </w:t>
      </w:r>
      <w:r w:rsidR="00ED4929">
        <w:rPr>
          <w:rFonts w:ascii="Tahoma" w:hAnsi="Tahoma"/>
          <w:bCs/>
          <w:iCs/>
        </w:rPr>
        <w:t>Отстапувањето кај</w:t>
      </w:r>
      <w:r w:rsidRPr="00A26B71">
        <w:rPr>
          <w:rFonts w:ascii="Tahoma" w:hAnsi="Tahoma"/>
          <w:bCs/>
          <w:iCs/>
        </w:rPr>
        <w:t xml:space="preserve"> инфлација</w:t>
      </w:r>
      <w:r w:rsidR="00ED4929">
        <w:rPr>
          <w:rFonts w:ascii="Tahoma" w:hAnsi="Tahoma"/>
          <w:bCs/>
          <w:iCs/>
        </w:rPr>
        <w:t>та засега</w:t>
      </w:r>
      <w:r w:rsidRPr="00A26B71">
        <w:rPr>
          <w:rFonts w:ascii="Tahoma" w:hAnsi="Tahoma"/>
          <w:bCs/>
          <w:iCs/>
        </w:rPr>
        <w:t xml:space="preserve"> се објаснува со отстапувањето кај факторите на страната на понудата. Од друга страна, побарувачката се движи </w:t>
      </w:r>
      <w:r w:rsidR="00C748BF">
        <w:rPr>
          <w:rFonts w:ascii="Tahoma" w:hAnsi="Tahoma"/>
          <w:bCs/>
          <w:iCs/>
        </w:rPr>
        <w:t>во рамки на</w:t>
      </w:r>
      <w:r w:rsidRPr="00A26B71">
        <w:rPr>
          <w:rFonts w:ascii="Tahoma" w:hAnsi="Tahoma"/>
          <w:bCs/>
          <w:iCs/>
        </w:rPr>
        <w:t xml:space="preserve"> очекувањата и не укажува на поголеми отстапувања на производствениот јаз во однос на оценетиот. Така, </w:t>
      </w:r>
      <w:r w:rsidRPr="00A26B71">
        <w:rPr>
          <w:rFonts w:ascii="Tahoma" w:hAnsi="Tahoma"/>
        </w:rPr>
        <w:t xml:space="preserve">показателите за економската активност покажуваат дека согласно </w:t>
      </w:r>
      <w:r w:rsidR="00CD7CD8">
        <w:rPr>
          <w:rFonts w:ascii="Tahoma" w:hAnsi="Tahoma"/>
        </w:rPr>
        <w:t xml:space="preserve">со </w:t>
      </w:r>
      <w:r w:rsidRPr="00A26B71">
        <w:rPr>
          <w:rFonts w:ascii="Tahoma" w:hAnsi="Tahoma"/>
        </w:rPr>
        <w:t xml:space="preserve">очекувањата, економијата ќе продолжи да расте и во текот на </w:t>
      </w:r>
      <w:r w:rsidR="00DF02BD">
        <w:rPr>
          <w:rFonts w:ascii="Tahoma" w:hAnsi="Tahoma"/>
        </w:rPr>
        <w:t xml:space="preserve">вториот квартал на 2014 година. </w:t>
      </w:r>
      <w:r w:rsidRPr="00A26B71">
        <w:rPr>
          <w:rFonts w:ascii="Tahoma" w:hAnsi="Tahoma"/>
        </w:rPr>
        <w:t>Новите креди</w:t>
      </w:r>
      <w:r w:rsidR="00A64392">
        <w:rPr>
          <w:rFonts w:ascii="Tahoma" w:hAnsi="Tahoma"/>
        </w:rPr>
        <w:t xml:space="preserve">тни текови </w:t>
      </w:r>
      <w:r w:rsidRPr="00A26B71">
        <w:rPr>
          <w:rFonts w:ascii="Tahoma" w:hAnsi="Tahoma"/>
        </w:rPr>
        <w:t>се солидни, со што вкупните кредити ја надминуваат проекција</w:t>
      </w:r>
      <w:r w:rsidR="00A64392">
        <w:rPr>
          <w:rFonts w:ascii="Tahoma" w:hAnsi="Tahoma"/>
        </w:rPr>
        <w:t>та</w:t>
      </w:r>
      <w:r w:rsidR="00EA5502">
        <w:rPr>
          <w:rFonts w:ascii="Tahoma" w:hAnsi="Tahoma"/>
        </w:rPr>
        <w:t xml:space="preserve">. </w:t>
      </w:r>
      <w:r w:rsidR="00CD7CD8">
        <w:rPr>
          <w:rFonts w:ascii="Tahoma" w:hAnsi="Tahoma"/>
        </w:rPr>
        <w:t>Така,</w:t>
      </w:r>
      <w:r w:rsidRPr="00A26B71">
        <w:rPr>
          <w:rFonts w:ascii="Tahoma" w:hAnsi="Tahoma"/>
        </w:rPr>
        <w:t xml:space="preserve"> надолните ризици околу проекцијата се помалку нагласени, но и понатаму присутни. </w:t>
      </w:r>
    </w:p>
    <w:p w:rsidR="00A26B71" w:rsidRPr="00A26B71" w:rsidRDefault="00A26B71" w:rsidP="00A26B71">
      <w:pPr>
        <w:ind w:right="-12"/>
        <w:jc w:val="both"/>
        <w:rPr>
          <w:rFonts w:ascii="Tahoma" w:hAnsi="Tahoma"/>
          <w:b/>
        </w:rPr>
      </w:pPr>
    </w:p>
    <w:p w:rsidR="002824A7" w:rsidRPr="00E92DD5" w:rsidRDefault="002824A7" w:rsidP="005E0354">
      <w:pPr>
        <w:tabs>
          <w:tab w:val="left" w:pos="993"/>
        </w:tabs>
        <w:ind w:right="-12"/>
        <w:jc w:val="both"/>
        <w:rPr>
          <w:rFonts w:ascii="Tahoma" w:hAnsi="Tahoma"/>
          <w:highlight w:val="yellow"/>
        </w:rPr>
        <w:sectPr w:rsidR="002824A7" w:rsidRPr="00E92DD5" w:rsidSect="00D55DE6">
          <w:headerReference w:type="first" r:id="rId12"/>
          <w:pgSz w:w="11907" w:h="16839" w:code="9"/>
          <w:pgMar w:top="1265" w:right="992" w:bottom="720" w:left="851" w:header="720" w:footer="720" w:gutter="0"/>
          <w:cols w:space="720"/>
          <w:docGrid w:linePitch="360"/>
        </w:sectPr>
      </w:pPr>
    </w:p>
    <w:tbl>
      <w:tblPr>
        <w:tblpPr w:leftFromText="180" w:rightFromText="180" w:vertAnchor="page" w:horzAnchor="margin" w:tblpXSpec="center" w:tblpY="1441"/>
        <w:tblW w:w="10490" w:type="dxa"/>
        <w:tblLayout w:type="fixed"/>
        <w:tblLook w:val="04A0"/>
      </w:tblPr>
      <w:tblGrid>
        <w:gridCol w:w="6253"/>
        <w:gridCol w:w="4237"/>
      </w:tblGrid>
      <w:tr w:rsidR="00394344" w:rsidRPr="00B0241C" w:rsidTr="00040FE6">
        <w:trPr>
          <w:trHeight w:val="1812"/>
        </w:trPr>
        <w:tc>
          <w:tcPr>
            <w:tcW w:w="6253" w:type="dxa"/>
          </w:tcPr>
          <w:p w:rsidR="00394344" w:rsidRDefault="00A26B71" w:rsidP="00AC0F0A">
            <w:pPr>
              <w:jc w:val="both"/>
              <w:rPr>
                <w:rFonts w:ascii="Tahoma" w:hAnsi="Tahoma"/>
                <w:b/>
                <w:i/>
                <w:szCs w:val="22"/>
                <w:highlight w:val="yellow"/>
              </w:rPr>
            </w:pPr>
            <w:r w:rsidRPr="001E49BC">
              <w:rPr>
                <w:noProof/>
                <w:lang w:val="en-US"/>
              </w:rPr>
              <w:lastRenderedPageBreak/>
              <w:drawing>
                <wp:inline distT="0" distB="0" distL="0" distR="0">
                  <wp:extent cx="3713480" cy="293433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3480" cy="2934335"/>
                          </a:xfrm>
                          <a:prstGeom prst="rect">
                            <a:avLst/>
                          </a:prstGeom>
                          <a:noFill/>
                          <a:ln>
                            <a:noFill/>
                          </a:ln>
                        </pic:spPr>
                      </pic:pic>
                    </a:graphicData>
                  </a:graphic>
                </wp:inline>
              </w:drawing>
            </w:r>
          </w:p>
          <w:p w:rsidR="00A26B71" w:rsidRPr="0035090C" w:rsidRDefault="00A26B71" w:rsidP="00AC0F0A">
            <w:pPr>
              <w:jc w:val="both"/>
              <w:rPr>
                <w:rFonts w:ascii="Tahoma" w:hAnsi="Tahoma"/>
                <w:b/>
                <w:i/>
                <w:szCs w:val="22"/>
                <w:highlight w:val="yellow"/>
              </w:rPr>
            </w:pPr>
            <w:r w:rsidRPr="001E49BC">
              <w:rPr>
                <w:rFonts w:ascii="Tahoma" w:hAnsi="Tahoma"/>
                <w:sz w:val="18"/>
                <w:szCs w:val="18"/>
              </w:rPr>
              <w:t xml:space="preserve">Извор: „Консензус </w:t>
            </w:r>
            <w:proofErr w:type="spellStart"/>
            <w:r w:rsidRPr="001E49BC">
              <w:rPr>
                <w:rFonts w:ascii="Tahoma" w:hAnsi="Tahoma"/>
                <w:sz w:val="18"/>
                <w:szCs w:val="18"/>
              </w:rPr>
              <w:t>форкаст</w:t>
            </w:r>
            <w:proofErr w:type="spellEnd"/>
            <w:r w:rsidRPr="001E49BC">
              <w:rPr>
                <w:rFonts w:ascii="Tahoma" w:hAnsi="Tahoma"/>
                <w:sz w:val="18"/>
                <w:szCs w:val="18"/>
              </w:rPr>
              <w:t>“ и пресметки на НБРМ</w:t>
            </w:r>
            <w:r>
              <w:rPr>
                <w:rFonts w:ascii="Tahoma" w:hAnsi="Tahoma"/>
                <w:sz w:val="18"/>
                <w:szCs w:val="18"/>
              </w:rPr>
              <w:t>.</w:t>
            </w:r>
          </w:p>
        </w:tc>
        <w:tc>
          <w:tcPr>
            <w:tcW w:w="4237" w:type="dxa"/>
          </w:tcPr>
          <w:p w:rsidR="00A26B71" w:rsidRPr="001E49BC" w:rsidRDefault="00A26B71" w:rsidP="00A26B71">
            <w:pPr>
              <w:jc w:val="both"/>
              <w:rPr>
                <w:rFonts w:ascii="Tahoma" w:hAnsi="Tahoma"/>
                <w:b/>
              </w:rPr>
            </w:pPr>
            <w:r w:rsidRPr="001E49BC">
              <w:rPr>
                <w:rFonts w:ascii="Tahoma" w:hAnsi="Tahoma"/>
                <w:b/>
              </w:rPr>
              <w:t>Најновата оценка на странската ефективна побарувачка за 2014 година е непроменета во однос на последната проекција</w:t>
            </w:r>
            <w:r>
              <w:rPr>
                <w:rFonts w:ascii="Tahoma" w:hAnsi="Tahoma"/>
                <w:b/>
              </w:rPr>
              <w:t xml:space="preserve">... </w:t>
            </w:r>
          </w:p>
          <w:p w:rsidR="00A26B71" w:rsidRPr="001E49BC" w:rsidRDefault="00A26B71" w:rsidP="00A26B71">
            <w:pPr>
              <w:jc w:val="both"/>
              <w:rPr>
                <w:rFonts w:ascii="Tahoma" w:hAnsi="Tahoma"/>
              </w:rPr>
            </w:pPr>
          </w:p>
          <w:p w:rsidR="00A26B71" w:rsidRPr="001E49BC" w:rsidRDefault="00A26B71" w:rsidP="00A26B71">
            <w:pPr>
              <w:jc w:val="both"/>
              <w:rPr>
                <w:rFonts w:ascii="Tahoma" w:hAnsi="Tahoma"/>
              </w:rPr>
            </w:pPr>
            <w:r>
              <w:rPr>
                <w:rFonts w:ascii="Tahoma" w:hAnsi="Tahoma"/>
              </w:rPr>
              <w:t xml:space="preserve">... </w:t>
            </w:r>
            <w:r w:rsidRPr="001E49BC">
              <w:rPr>
                <w:rFonts w:ascii="Tahoma" w:hAnsi="Tahoma"/>
              </w:rPr>
              <w:t>односно, исто како и во априлската проекција,</w:t>
            </w:r>
            <w:r>
              <w:rPr>
                <w:rFonts w:ascii="Tahoma" w:hAnsi="Tahoma"/>
              </w:rPr>
              <w:t xml:space="preserve"> </w:t>
            </w:r>
            <w:r w:rsidRPr="001E49BC">
              <w:rPr>
                <w:rFonts w:ascii="Tahoma" w:hAnsi="Tahoma"/>
              </w:rPr>
              <w:t>се проценува дека растот ќе изнесува 1,2%</w:t>
            </w:r>
            <w:r>
              <w:rPr>
                <w:rFonts w:ascii="Tahoma" w:hAnsi="Tahoma"/>
              </w:rPr>
              <w:t xml:space="preserve">... </w:t>
            </w:r>
          </w:p>
          <w:p w:rsidR="00A26B71" w:rsidRPr="001E49BC" w:rsidRDefault="00A26B71" w:rsidP="00A26B71">
            <w:pPr>
              <w:jc w:val="both"/>
              <w:rPr>
                <w:rFonts w:ascii="Tahoma" w:hAnsi="Tahoma"/>
              </w:rPr>
            </w:pPr>
          </w:p>
          <w:p w:rsidR="00A26B71" w:rsidRPr="001E49BC" w:rsidRDefault="00A26B71" w:rsidP="00A26B71">
            <w:pPr>
              <w:jc w:val="both"/>
              <w:rPr>
                <w:rFonts w:ascii="Tahoma" w:hAnsi="Tahoma"/>
                <w:lang w:val="en-US"/>
              </w:rPr>
            </w:pPr>
            <w:r>
              <w:rPr>
                <w:rFonts w:ascii="Tahoma" w:hAnsi="Tahoma"/>
              </w:rPr>
              <w:t xml:space="preserve">... </w:t>
            </w:r>
            <w:r w:rsidRPr="001E49BC">
              <w:rPr>
                <w:rFonts w:ascii="Tahoma" w:hAnsi="Tahoma"/>
              </w:rPr>
              <w:t>при минимални нагорни ревизии на проектираните стапки</w:t>
            </w:r>
            <w:r w:rsidRPr="001E49BC">
              <w:rPr>
                <w:rFonts w:ascii="Tahoma" w:hAnsi="Tahoma"/>
                <w:lang w:val="en-US"/>
              </w:rPr>
              <w:t xml:space="preserve"> </w:t>
            </w:r>
            <w:r w:rsidRPr="001E49BC">
              <w:rPr>
                <w:rFonts w:ascii="Tahoma" w:hAnsi="Tahoma"/>
              </w:rPr>
              <w:t>кај повеќето наши трговски партнери, со исклучок на Србија, Италија,</w:t>
            </w:r>
            <w:r w:rsidRPr="001E49BC">
              <w:rPr>
                <w:rFonts w:ascii="Tahoma" w:hAnsi="Tahoma"/>
                <w:lang w:val="en-US"/>
              </w:rPr>
              <w:t xml:space="preserve"> </w:t>
            </w:r>
            <w:r w:rsidRPr="001E49BC">
              <w:rPr>
                <w:rFonts w:ascii="Tahoma" w:hAnsi="Tahoma"/>
              </w:rPr>
              <w:t>Холандија и Хрватска</w:t>
            </w:r>
            <w:r w:rsidR="00954F13">
              <w:rPr>
                <w:rFonts w:ascii="Tahoma" w:hAnsi="Tahoma"/>
              </w:rPr>
              <w:t>,</w:t>
            </w:r>
            <w:r w:rsidRPr="001E49BC">
              <w:rPr>
                <w:rFonts w:ascii="Tahoma" w:hAnsi="Tahoma"/>
              </w:rPr>
              <w:t xml:space="preserve"> каде </w:t>
            </w:r>
            <w:r w:rsidR="00954F13">
              <w:rPr>
                <w:rFonts w:ascii="Tahoma" w:hAnsi="Tahoma"/>
              </w:rPr>
              <w:t xml:space="preserve">што </w:t>
            </w:r>
            <w:r w:rsidRPr="001E49BC">
              <w:rPr>
                <w:rFonts w:ascii="Tahoma" w:hAnsi="Tahoma"/>
              </w:rPr>
              <w:t>корекциите се во надолна насока</w:t>
            </w:r>
            <w:r>
              <w:rPr>
                <w:rFonts w:ascii="Tahoma" w:hAnsi="Tahoma"/>
                <w:lang w:val="en-US"/>
              </w:rPr>
              <w:t xml:space="preserve">. </w:t>
            </w:r>
          </w:p>
          <w:p w:rsidR="00A26B71" w:rsidRPr="001E49BC" w:rsidRDefault="00A26B71" w:rsidP="00A26B71">
            <w:pPr>
              <w:jc w:val="both"/>
              <w:rPr>
                <w:rFonts w:ascii="Tahoma" w:hAnsi="Tahoma"/>
              </w:rPr>
            </w:pPr>
          </w:p>
          <w:p w:rsidR="00A26B71" w:rsidRPr="001E49BC" w:rsidRDefault="00A26B71" w:rsidP="00A26B71">
            <w:pPr>
              <w:jc w:val="both"/>
              <w:rPr>
                <w:rFonts w:ascii="Tahoma" w:hAnsi="Tahoma"/>
                <w:b/>
              </w:rPr>
            </w:pPr>
            <w:r w:rsidRPr="001E49BC">
              <w:rPr>
                <w:rFonts w:ascii="Tahoma" w:hAnsi="Tahoma"/>
                <w:b/>
              </w:rPr>
              <w:t>Промени не се направени ниту во</w:t>
            </w:r>
            <w:r>
              <w:rPr>
                <w:rFonts w:ascii="Tahoma" w:hAnsi="Tahoma"/>
                <w:b/>
              </w:rPr>
              <w:t xml:space="preserve"> </w:t>
            </w:r>
            <w:r w:rsidRPr="001E49BC">
              <w:rPr>
                <w:rFonts w:ascii="Tahoma" w:hAnsi="Tahoma"/>
                <w:b/>
              </w:rPr>
              <w:t>оценките за странската ефективна побарувачка за 2015 година, односно како и во апри</w:t>
            </w:r>
            <w:r>
              <w:rPr>
                <w:rFonts w:ascii="Tahoma" w:hAnsi="Tahoma"/>
                <w:b/>
              </w:rPr>
              <w:t xml:space="preserve">л, </w:t>
            </w:r>
            <w:r w:rsidRPr="001E49BC">
              <w:rPr>
                <w:rFonts w:ascii="Tahoma" w:hAnsi="Tahoma"/>
                <w:b/>
              </w:rPr>
              <w:t>се очекува растот умерено да</w:t>
            </w:r>
            <w:r w:rsidRPr="001E49BC">
              <w:rPr>
                <w:rFonts w:ascii="Tahoma" w:hAnsi="Tahoma"/>
                <w:b/>
                <w:lang w:val="en-US"/>
              </w:rPr>
              <w:t xml:space="preserve"> </w:t>
            </w:r>
            <w:r w:rsidRPr="001E49BC">
              <w:rPr>
                <w:rFonts w:ascii="Tahoma" w:hAnsi="Tahoma"/>
                <w:b/>
              </w:rPr>
              <w:t>забрза и да достигне 1,8%</w:t>
            </w:r>
            <w:r>
              <w:rPr>
                <w:rFonts w:ascii="Tahoma" w:hAnsi="Tahoma"/>
                <w:b/>
              </w:rPr>
              <w:t xml:space="preserve">. </w:t>
            </w:r>
          </w:p>
          <w:p w:rsidR="00394344" w:rsidRPr="0035090C" w:rsidRDefault="00394344" w:rsidP="00394344">
            <w:pPr>
              <w:jc w:val="both"/>
              <w:rPr>
                <w:rFonts w:ascii="Tahoma" w:hAnsi="Tahoma"/>
                <w:b/>
                <w:i/>
                <w:szCs w:val="22"/>
                <w:highlight w:val="yellow"/>
              </w:rPr>
            </w:pPr>
          </w:p>
        </w:tc>
      </w:tr>
      <w:tr w:rsidR="00394344" w:rsidRPr="00B0241C" w:rsidTr="00040FE6">
        <w:trPr>
          <w:trHeight w:val="284"/>
        </w:trPr>
        <w:tc>
          <w:tcPr>
            <w:tcW w:w="6253" w:type="dxa"/>
          </w:tcPr>
          <w:p w:rsidR="00394344" w:rsidRDefault="00394344" w:rsidP="00AC0F0A">
            <w:pPr>
              <w:rPr>
                <w:rFonts w:ascii="Tahoma" w:hAnsi="Tahoma"/>
                <w:szCs w:val="22"/>
                <w:highlight w:val="yellow"/>
              </w:rPr>
            </w:pPr>
          </w:p>
          <w:p w:rsidR="00A26B71" w:rsidRDefault="00A26B71" w:rsidP="00AC0F0A">
            <w:pPr>
              <w:rPr>
                <w:rFonts w:ascii="Tahoma" w:hAnsi="Tahoma"/>
                <w:szCs w:val="22"/>
                <w:highlight w:val="yellow"/>
              </w:rPr>
            </w:pPr>
            <w:r w:rsidRPr="001E49BC">
              <w:rPr>
                <w:rFonts w:ascii="Tahoma" w:hAnsi="Tahoma"/>
                <w:noProof/>
                <w:szCs w:val="22"/>
                <w:lang w:val="en-US"/>
              </w:rPr>
              <w:drawing>
                <wp:inline distT="0" distB="0" distL="0" distR="0">
                  <wp:extent cx="3705225" cy="294195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225" cy="2941955"/>
                          </a:xfrm>
                          <a:prstGeom prst="rect">
                            <a:avLst/>
                          </a:prstGeom>
                          <a:noFill/>
                          <a:ln>
                            <a:noFill/>
                          </a:ln>
                        </pic:spPr>
                      </pic:pic>
                    </a:graphicData>
                  </a:graphic>
                </wp:inline>
              </w:drawing>
            </w:r>
          </w:p>
          <w:p w:rsidR="00A26B71" w:rsidRDefault="00A26B71" w:rsidP="00AC0F0A">
            <w:pPr>
              <w:rPr>
                <w:rFonts w:ascii="Tahoma" w:hAnsi="Tahoma"/>
                <w:sz w:val="18"/>
                <w:szCs w:val="18"/>
              </w:rPr>
            </w:pPr>
            <w:r w:rsidRPr="001E49BC">
              <w:rPr>
                <w:rFonts w:ascii="Tahoma" w:hAnsi="Tahoma"/>
                <w:sz w:val="18"/>
                <w:szCs w:val="18"/>
              </w:rPr>
              <w:t xml:space="preserve">Извор: „Консензус </w:t>
            </w:r>
            <w:proofErr w:type="spellStart"/>
            <w:r w:rsidRPr="001E49BC">
              <w:rPr>
                <w:rFonts w:ascii="Tahoma" w:hAnsi="Tahoma"/>
                <w:sz w:val="18"/>
                <w:szCs w:val="18"/>
              </w:rPr>
              <w:t>форкаст</w:t>
            </w:r>
            <w:proofErr w:type="spellEnd"/>
            <w:r w:rsidRPr="001E49BC">
              <w:rPr>
                <w:rFonts w:ascii="Tahoma" w:hAnsi="Tahoma"/>
                <w:sz w:val="18"/>
                <w:szCs w:val="18"/>
              </w:rPr>
              <w:t>“ и пресметки на НБРМ</w:t>
            </w:r>
            <w:r>
              <w:rPr>
                <w:rFonts w:ascii="Tahoma" w:hAnsi="Tahoma"/>
                <w:sz w:val="18"/>
                <w:szCs w:val="18"/>
              </w:rPr>
              <w:t>.</w:t>
            </w:r>
          </w:p>
          <w:p w:rsidR="00A26B71" w:rsidRDefault="00A26B71" w:rsidP="00AC0F0A">
            <w:pPr>
              <w:rPr>
                <w:rFonts w:ascii="Tahoma" w:hAnsi="Tahoma"/>
                <w:szCs w:val="22"/>
                <w:highlight w:val="yellow"/>
              </w:rPr>
            </w:pPr>
          </w:p>
          <w:p w:rsidR="00A26B71" w:rsidRDefault="00A26B71" w:rsidP="00AC0F0A">
            <w:pPr>
              <w:rPr>
                <w:rFonts w:ascii="Tahoma" w:hAnsi="Tahoma"/>
                <w:szCs w:val="22"/>
                <w:highlight w:val="yellow"/>
              </w:rPr>
            </w:pPr>
          </w:p>
          <w:p w:rsidR="00A26B71" w:rsidRDefault="00A26B71" w:rsidP="00AC0F0A">
            <w:pPr>
              <w:rPr>
                <w:rFonts w:ascii="Tahoma" w:hAnsi="Tahoma"/>
                <w:szCs w:val="22"/>
                <w:highlight w:val="yellow"/>
              </w:rPr>
            </w:pPr>
          </w:p>
          <w:p w:rsidR="00A26B71" w:rsidRPr="00A26B71" w:rsidRDefault="00A26B71" w:rsidP="00AC0F0A">
            <w:pPr>
              <w:rPr>
                <w:rFonts w:ascii="Tahoma" w:hAnsi="Tahoma"/>
                <w:szCs w:val="22"/>
                <w:highlight w:val="yellow"/>
              </w:rPr>
            </w:pPr>
          </w:p>
        </w:tc>
        <w:tc>
          <w:tcPr>
            <w:tcW w:w="4237" w:type="dxa"/>
            <w:vAlign w:val="center"/>
          </w:tcPr>
          <w:p w:rsidR="00A26B71" w:rsidRPr="00A26B71" w:rsidRDefault="00A26B71" w:rsidP="00A26B71">
            <w:pPr>
              <w:jc w:val="both"/>
              <w:rPr>
                <w:rFonts w:ascii="Tahoma" w:hAnsi="Tahoma"/>
                <w:b/>
              </w:rPr>
            </w:pPr>
            <w:r w:rsidRPr="00A26B71">
              <w:rPr>
                <w:rFonts w:ascii="Tahoma" w:hAnsi="Tahoma"/>
                <w:b/>
              </w:rPr>
              <w:t>Новата оценка на странската ефективна инфлација за 2014 година</w:t>
            </w:r>
            <w:r w:rsidR="00954F13">
              <w:rPr>
                <w:rFonts w:ascii="Tahoma" w:hAnsi="Tahoma"/>
                <w:b/>
              </w:rPr>
              <w:t>,</w:t>
            </w:r>
            <w:r w:rsidRPr="00A26B71">
              <w:rPr>
                <w:rFonts w:ascii="Tahoma" w:hAnsi="Tahoma"/>
                <w:b/>
              </w:rPr>
              <w:t xml:space="preserve"> споредено со априлската проекција</w:t>
            </w:r>
            <w:r w:rsidR="00954F13">
              <w:rPr>
                <w:rFonts w:ascii="Tahoma" w:hAnsi="Tahoma"/>
                <w:b/>
              </w:rPr>
              <w:t>,</w:t>
            </w:r>
            <w:r w:rsidRPr="00A26B71">
              <w:rPr>
                <w:rFonts w:ascii="Tahoma" w:hAnsi="Tahoma"/>
                <w:b/>
              </w:rPr>
              <w:t xml:space="preserve"> е значително</w:t>
            </w:r>
            <w:r w:rsidRPr="00A26B71">
              <w:rPr>
                <w:rFonts w:ascii="Tahoma" w:hAnsi="Tahoma"/>
                <w:b/>
                <w:lang w:val="en-US"/>
              </w:rPr>
              <w:t xml:space="preserve"> </w:t>
            </w:r>
            <w:r w:rsidRPr="00A26B71">
              <w:rPr>
                <w:rFonts w:ascii="Tahoma" w:hAnsi="Tahoma"/>
                <w:b/>
              </w:rPr>
              <w:t xml:space="preserve">пониска...  </w:t>
            </w:r>
          </w:p>
          <w:p w:rsidR="00A26B71" w:rsidRPr="00A26B71" w:rsidRDefault="00A26B71" w:rsidP="00A26B71">
            <w:pPr>
              <w:jc w:val="both"/>
              <w:rPr>
                <w:rFonts w:ascii="Tahoma" w:hAnsi="Tahoma"/>
                <w:szCs w:val="22"/>
              </w:rPr>
            </w:pPr>
          </w:p>
          <w:p w:rsidR="00A26B71" w:rsidRPr="00A26B71" w:rsidRDefault="008A2B26" w:rsidP="00A26B71">
            <w:pPr>
              <w:jc w:val="both"/>
              <w:rPr>
                <w:rFonts w:ascii="Tahoma" w:hAnsi="Tahoma"/>
                <w:szCs w:val="22"/>
                <w:lang w:val="en-US"/>
              </w:rPr>
            </w:pPr>
            <w:r>
              <w:rPr>
                <w:rFonts w:ascii="Tahoma" w:hAnsi="Tahoma"/>
                <w:szCs w:val="22"/>
              </w:rPr>
              <w:t>...</w:t>
            </w:r>
            <w:r w:rsidR="00A26B71" w:rsidRPr="00A26B71">
              <w:rPr>
                <w:rFonts w:ascii="Tahoma" w:hAnsi="Tahoma"/>
                <w:szCs w:val="22"/>
              </w:rPr>
              <w:t>односно</w:t>
            </w:r>
            <w:r w:rsidR="00954F13">
              <w:rPr>
                <w:rFonts w:ascii="Tahoma" w:hAnsi="Tahoma"/>
                <w:szCs w:val="22"/>
              </w:rPr>
              <w:t>,</w:t>
            </w:r>
            <w:r w:rsidR="00A26B71" w:rsidRPr="00A26B71">
              <w:rPr>
                <w:rFonts w:ascii="Tahoma" w:hAnsi="Tahoma"/>
                <w:szCs w:val="22"/>
                <w:lang w:val="en-US"/>
              </w:rPr>
              <w:t xml:space="preserve"> </w:t>
            </w:r>
            <w:r w:rsidR="00A26B71" w:rsidRPr="00A26B71">
              <w:rPr>
                <w:rFonts w:ascii="Tahoma" w:hAnsi="Tahoma"/>
                <w:szCs w:val="22"/>
              </w:rPr>
              <w:t>тековно се очекува раст на</w:t>
            </w:r>
            <w:r w:rsidR="00A26B71" w:rsidRPr="00A26B71">
              <w:rPr>
                <w:rFonts w:ascii="Tahoma" w:hAnsi="Tahoma"/>
                <w:szCs w:val="22"/>
                <w:lang w:val="en-US"/>
              </w:rPr>
              <w:t xml:space="preserve"> </w:t>
            </w:r>
            <w:r w:rsidR="00A26B71" w:rsidRPr="00A26B71">
              <w:rPr>
                <w:rFonts w:ascii="Tahoma" w:hAnsi="Tahoma"/>
                <w:szCs w:val="22"/>
              </w:rPr>
              <w:t>странските цени од 0,6%, наспроти априлската</w:t>
            </w:r>
            <w:r w:rsidR="00A26B71" w:rsidRPr="00A26B71">
              <w:rPr>
                <w:rFonts w:ascii="Tahoma" w:hAnsi="Tahoma"/>
                <w:szCs w:val="22"/>
                <w:lang w:val="en-US"/>
              </w:rPr>
              <w:t xml:space="preserve"> </w:t>
            </w:r>
            <w:r w:rsidR="00A26B71" w:rsidRPr="00A26B71">
              <w:rPr>
                <w:rFonts w:ascii="Tahoma" w:hAnsi="Tahoma"/>
                <w:szCs w:val="22"/>
              </w:rPr>
              <w:t xml:space="preserve">проекција од 1%. </w:t>
            </w:r>
          </w:p>
          <w:p w:rsidR="00A26B71" w:rsidRPr="00A26B71" w:rsidRDefault="00A26B71" w:rsidP="00A26B71">
            <w:pPr>
              <w:jc w:val="both"/>
              <w:rPr>
                <w:rFonts w:ascii="Tahoma" w:hAnsi="Tahoma"/>
                <w:szCs w:val="22"/>
              </w:rPr>
            </w:pPr>
          </w:p>
          <w:p w:rsidR="00A26B71" w:rsidRPr="00A26B71" w:rsidRDefault="00A26B71" w:rsidP="00A26B71">
            <w:pPr>
              <w:jc w:val="both"/>
              <w:rPr>
                <w:rFonts w:ascii="Tahoma" w:hAnsi="Tahoma"/>
                <w:szCs w:val="22"/>
              </w:rPr>
            </w:pPr>
            <w:r w:rsidRPr="00A26B71">
              <w:rPr>
                <w:rFonts w:ascii="Tahoma" w:hAnsi="Tahoma"/>
                <w:szCs w:val="22"/>
              </w:rPr>
              <w:t xml:space="preserve">Пониската оцена е резултат на надолните ревизии на очекуваните стапки на инфлација кај сите трговски партнери... </w:t>
            </w:r>
          </w:p>
          <w:p w:rsidR="00A26B71" w:rsidRPr="00A26B71" w:rsidRDefault="00A26B71" w:rsidP="00A26B71">
            <w:pPr>
              <w:jc w:val="both"/>
              <w:rPr>
                <w:rFonts w:ascii="Tahoma" w:hAnsi="Tahoma"/>
                <w:szCs w:val="22"/>
              </w:rPr>
            </w:pPr>
          </w:p>
          <w:p w:rsidR="00A26B71" w:rsidRPr="00A26B71" w:rsidRDefault="00A26B71" w:rsidP="00A26B71">
            <w:pPr>
              <w:jc w:val="both"/>
              <w:rPr>
                <w:rFonts w:ascii="Tahoma" w:hAnsi="Tahoma"/>
                <w:szCs w:val="22"/>
                <w:lang w:val="en-US"/>
              </w:rPr>
            </w:pPr>
            <w:r w:rsidRPr="00A26B71">
              <w:rPr>
                <w:rFonts w:ascii="Tahoma" w:hAnsi="Tahoma"/>
                <w:szCs w:val="22"/>
              </w:rPr>
              <w:t xml:space="preserve">... при најголем придонес на Бугарија, каде што, имајќи ги предвид тековните остварувања, се очекува пад на цените наместо раст. Значаен придонес кон направената корекција има и надолната ревизија на очекуваната стапка на инфлација во Германија.  </w:t>
            </w:r>
          </w:p>
          <w:p w:rsidR="00A26B71" w:rsidRDefault="00A26B71" w:rsidP="00A26B71">
            <w:pPr>
              <w:jc w:val="both"/>
              <w:rPr>
                <w:rFonts w:ascii="Tahoma" w:eastAsiaTheme="minorHAnsi" w:hAnsi="Tahoma"/>
                <w:b/>
                <w:bCs/>
                <w:color w:val="000000"/>
                <w:szCs w:val="22"/>
              </w:rPr>
            </w:pPr>
          </w:p>
          <w:p w:rsidR="00B05781" w:rsidRPr="00A26B71" w:rsidRDefault="00B05781" w:rsidP="00A26B71">
            <w:pPr>
              <w:jc w:val="both"/>
              <w:rPr>
                <w:rFonts w:ascii="Tahoma" w:eastAsiaTheme="minorHAnsi" w:hAnsi="Tahoma"/>
                <w:b/>
                <w:bCs/>
                <w:color w:val="000000"/>
                <w:szCs w:val="22"/>
              </w:rPr>
            </w:pPr>
          </w:p>
          <w:p w:rsidR="00394344" w:rsidRDefault="00A26B71" w:rsidP="008B3AF6">
            <w:pPr>
              <w:jc w:val="both"/>
              <w:rPr>
                <w:rFonts w:ascii="Tahoma" w:eastAsiaTheme="minorHAnsi" w:hAnsi="Tahoma"/>
                <w:b/>
                <w:bCs/>
                <w:color w:val="000000"/>
                <w:szCs w:val="22"/>
              </w:rPr>
            </w:pPr>
            <w:r w:rsidRPr="00A26B71">
              <w:rPr>
                <w:rFonts w:ascii="Tahoma" w:eastAsiaTheme="minorHAnsi" w:hAnsi="Tahoma"/>
                <w:b/>
                <w:bCs/>
                <w:color w:val="000000"/>
                <w:szCs w:val="22"/>
              </w:rPr>
              <w:t xml:space="preserve">Со најновата оцена </w:t>
            </w:r>
            <w:r w:rsidR="008B3AF6">
              <w:rPr>
                <w:rFonts w:ascii="Tahoma" w:eastAsiaTheme="minorHAnsi" w:hAnsi="Tahoma"/>
                <w:b/>
                <w:bCs/>
                <w:color w:val="000000"/>
                <w:szCs w:val="22"/>
              </w:rPr>
              <w:t xml:space="preserve">е </w:t>
            </w:r>
            <w:r w:rsidRPr="00A26B71">
              <w:rPr>
                <w:rFonts w:ascii="Tahoma" w:eastAsiaTheme="minorHAnsi" w:hAnsi="Tahoma"/>
                <w:b/>
                <w:bCs/>
                <w:color w:val="000000"/>
                <w:szCs w:val="22"/>
              </w:rPr>
              <w:t>извршена  надолна ревизија и на странската инфлација за 2015 година, при</w:t>
            </w:r>
            <w:r w:rsidRPr="00A26B71">
              <w:rPr>
                <w:rFonts w:ascii="Tahoma" w:eastAsiaTheme="minorHAnsi" w:hAnsi="Tahoma"/>
                <w:b/>
                <w:bCs/>
                <w:color w:val="000000"/>
                <w:szCs w:val="22"/>
                <w:lang w:val="en-US"/>
              </w:rPr>
              <w:t xml:space="preserve"> </w:t>
            </w:r>
            <w:r w:rsidRPr="00A26B71">
              <w:rPr>
                <w:rFonts w:ascii="Tahoma" w:eastAsiaTheme="minorHAnsi" w:hAnsi="Tahoma"/>
                <w:b/>
                <w:bCs/>
                <w:color w:val="000000"/>
                <w:szCs w:val="22"/>
              </w:rPr>
              <w:t xml:space="preserve">што сега се очекува понизок раст </w:t>
            </w:r>
            <w:r w:rsidRPr="00A26B71">
              <w:rPr>
                <w:rFonts w:ascii="Tahoma" w:eastAsiaTheme="minorHAnsi" w:hAnsi="Tahoma"/>
                <w:b/>
                <w:bCs/>
                <w:color w:val="000000"/>
                <w:szCs w:val="22"/>
              </w:rPr>
              <w:lastRenderedPageBreak/>
              <w:t>споредено со априлската проекција (1,5% наспроти 1,8%).</w:t>
            </w:r>
          </w:p>
          <w:p w:rsidR="009F4502" w:rsidRPr="004D0182" w:rsidRDefault="009F4502" w:rsidP="008B3AF6">
            <w:pPr>
              <w:jc w:val="both"/>
              <w:rPr>
                <w:rFonts w:ascii="Tahoma" w:hAnsi="Tahoma"/>
                <w:b/>
                <w:szCs w:val="22"/>
              </w:rPr>
            </w:pPr>
          </w:p>
        </w:tc>
      </w:tr>
      <w:tr w:rsidR="00394344" w:rsidRPr="00B0241C" w:rsidTr="00802A10">
        <w:trPr>
          <w:trHeight w:val="2298"/>
        </w:trPr>
        <w:tc>
          <w:tcPr>
            <w:tcW w:w="6253" w:type="dxa"/>
          </w:tcPr>
          <w:p w:rsidR="00394344" w:rsidRDefault="00A26B71" w:rsidP="00394344">
            <w:pPr>
              <w:rPr>
                <w:rFonts w:ascii="Tahoma" w:hAnsi="Tahoma"/>
                <w:szCs w:val="22"/>
                <w:highlight w:val="yellow"/>
              </w:rPr>
            </w:pPr>
            <w:r w:rsidRPr="001E49BC">
              <w:rPr>
                <w:rFonts w:ascii="Tahoma" w:hAnsi="Tahoma"/>
                <w:noProof/>
                <w:sz w:val="18"/>
                <w:szCs w:val="18"/>
                <w:lang w:val="en-US"/>
              </w:rPr>
              <w:lastRenderedPageBreak/>
              <w:drawing>
                <wp:inline distT="0" distB="0" distL="0" distR="0">
                  <wp:extent cx="3713480" cy="318833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3480" cy="3188335"/>
                          </a:xfrm>
                          <a:prstGeom prst="rect">
                            <a:avLst/>
                          </a:prstGeom>
                          <a:noFill/>
                          <a:ln>
                            <a:noFill/>
                          </a:ln>
                        </pic:spPr>
                      </pic:pic>
                    </a:graphicData>
                  </a:graphic>
                </wp:inline>
              </w:drawing>
            </w:r>
          </w:p>
          <w:p w:rsidR="00A26B71" w:rsidRPr="00A26B71" w:rsidRDefault="00A26B71" w:rsidP="00A26B71">
            <w:pPr>
              <w:rPr>
                <w:rFonts w:ascii="Tahoma" w:hAnsi="Tahoma"/>
              </w:rPr>
            </w:pPr>
            <w:r w:rsidRPr="00A26B71">
              <w:rPr>
                <w:rFonts w:ascii="Tahoma" w:hAnsi="Tahoma"/>
                <w:sz w:val="18"/>
                <w:szCs w:val="18"/>
              </w:rPr>
              <w:t>Извор: ММФ</w:t>
            </w:r>
            <w:r w:rsidR="00721F1E">
              <w:rPr>
                <w:rFonts w:ascii="Tahoma" w:hAnsi="Tahoma"/>
                <w:sz w:val="18"/>
                <w:szCs w:val="18"/>
              </w:rPr>
              <w:t xml:space="preserve"> </w:t>
            </w:r>
            <w:r w:rsidRPr="00A26B71">
              <w:rPr>
                <w:rFonts w:ascii="Tahoma" w:hAnsi="Tahoma"/>
                <w:sz w:val="18"/>
                <w:szCs w:val="18"/>
              </w:rPr>
              <w:t xml:space="preserve">и пресметки на НБРМ. </w:t>
            </w:r>
          </w:p>
          <w:p w:rsidR="00A26B71" w:rsidRDefault="00A26B71" w:rsidP="00394344">
            <w:pPr>
              <w:rPr>
                <w:rFonts w:ascii="Tahoma" w:hAnsi="Tahoma"/>
                <w:szCs w:val="22"/>
                <w:highlight w:val="yellow"/>
              </w:rPr>
            </w:pPr>
          </w:p>
          <w:p w:rsidR="00A26B71" w:rsidRPr="00A26B71" w:rsidRDefault="00A26B71" w:rsidP="00A26B71">
            <w:pPr>
              <w:rPr>
                <w:rFonts w:ascii="Tahoma" w:hAnsi="Tahoma"/>
                <w:szCs w:val="22"/>
                <w:highlight w:val="yellow"/>
              </w:rPr>
            </w:pPr>
          </w:p>
        </w:tc>
        <w:tc>
          <w:tcPr>
            <w:tcW w:w="4237" w:type="dxa"/>
            <w:vAlign w:val="center"/>
          </w:tcPr>
          <w:p w:rsidR="00A26B71" w:rsidRPr="00A26B71" w:rsidRDefault="00A26B71" w:rsidP="00A26B71">
            <w:pPr>
              <w:jc w:val="both"/>
              <w:rPr>
                <w:rFonts w:ascii="Tahoma" w:hAnsi="Tahoma"/>
                <w:b/>
              </w:rPr>
            </w:pPr>
            <w:r w:rsidRPr="00A26B71">
              <w:rPr>
                <w:rFonts w:ascii="Tahoma" w:hAnsi="Tahoma"/>
                <w:b/>
              </w:rPr>
              <w:t>Најновата оцена за цената на суровата нафта за 2014 година не се разликува знач</w:t>
            </w:r>
            <w:r w:rsidR="008B3AF6">
              <w:rPr>
                <w:rFonts w:ascii="Tahoma" w:hAnsi="Tahoma"/>
                <w:b/>
              </w:rPr>
              <w:t>ително</w:t>
            </w:r>
            <w:r w:rsidRPr="00A26B71">
              <w:rPr>
                <w:rFonts w:ascii="Tahoma" w:hAnsi="Tahoma"/>
                <w:b/>
              </w:rPr>
              <w:t xml:space="preserve"> во однос на априлската проекција. . . </w:t>
            </w:r>
          </w:p>
          <w:p w:rsidR="00A26B71" w:rsidRPr="00A26B71" w:rsidRDefault="00A26B71" w:rsidP="00A26B71">
            <w:pPr>
              <w:jc w:val="both"/>
              <w:rPr>
                <w:rFonts w:ascii="Tahoma" w:hAnsi="Tahoma"/>
                <w:szCs w:val="22"/>
              </w:rPr>
            </w:pPr>
          </w:p>
          <w:p w:rsidR="00A26B71" w:rsidRPr="00A26B71" w:rsidRDefault="00DA3128" w:rsidP="00A26B71">
            <w:pPr>
              <w:jc w:val="both"/>
              <w:rPr>
                <w:rFonts w:ascii="Tahoma" w:hAnsi="Tahoma"/>
                <w:szCs w:val="22"/>
              </w:rPr>
            </w:pPr>
            <w:r>
              <w:rPr>
                <w:rFonts w:ascii="Tahoma" w:hAnsi="Tahoma"/>
                <w:szCs w:val="22"/>
              </w:rPr>
              <w:t xml:space="preserve">...при што </w:t>
            </w:r>
            <w:r w:rsidR="00A26B71" w:rsidRPr="00A26B71">
              <w:rPr>
                <w:rFonts w:ascii="Tahoma" w:hAnsi="Tahoma"/>
                <w:szCs w:val="22"/>
              </w:rPr>
              <w:t>се очекува пад на цената на нафтата од 3,1%, наспроти априлската проекција за пад од 3,2%...</w:t>
            </w:r>
          </w:p>
          <w:p w:rsidR="00A26B71" w:rsidRPr="00A26B71" w:rsidRDefault="00A26B71" w:rsidP="00A26B71">
            <w:pPr>
              <w:jc w:val="both"/>
              <w:rPr>
                <w:rFonts w:ascii="Tahoma" w:hAnsi="Tahoma"/>
                <w:szCs w:val="22"/>
              </w:rPr>
            </w:pPr>
          </w:p>
          <w:p w:rsidR="00A26B71" w:rsidRPr="00A26B71" w:rsidRDefault="00A26B71" w:rsidP="00A26B71">
            <w:pPr>
              <w:jc w:val="both"/>
              <w:rPr>
                <w:rFonts w:ascii="Tahoma" w:hAnsi="Tahoma"/>
              </w:rPr>
            </w:pPr>
            <w:r w:rsidRPr="00A26B71">
              <w:rPr>
                <w:rFonts w:ascii="Tahoma" w:hAnsi="Tahoma"/>
              </w:rPr>
              <w:t>... во услови на доволна понуда на нафта</w:t>
            </w:r>
            <w:r w:rsidRPr="00A26B71">
              <w:rPr>
                <w:rFonts w:ascii="Tahoma" w:hAnsi="Tahoma"/>
                <w:vertAlign w:val="superscript"/>
              </w:rPr>
              <w:footnoteReference w:id="1"/>
            </w:r>
            <w:r w:rsidRPr="00A26B71">
              <w:rPr>
                <w:rFonts w:ascii="Tahoma" w:hAnsi="Tahoma"/>
                <w:lang w:val="en-US"/>
              </w:rPr>
              <w:t xml:space="preserve">. </w:t>
            </w:r>
          </w:p>
          <w:p w:rsidR="00A26B71" w:rsidRPr="00A26B71" w:rsidRDefault="00A26B71" w:rsidP="00A26B71">
            <w:pPr>
              <w:jc w:val="both"/>
              <w:rPr>
                <w:rFonts w:ascii="Tahoma" w:hAnsi="Tahoma"/>
              </w:rPr>
            </w:pPr>
          </w:p>
          <w:p w:rsidR="00A26B71" w:rsidRPr="00A26B71" w:rsidRDefault="00A26B71" w:rsidP="00A26B71">
            <w:pPr>
              <w:jc w:val="both"/>
              <w:rPr>
                <w:rFonts w:ascii="Tahoma" w:hAnsi="Tahoma"/>
                <w:lang w:val="en-US"/>
              </w:rPr>
            </w:pPr>
            <w:r w:rsidRPr="00A26B71">
              <w:rPr>
                <w:rFonts w:ascii="Tahoma" w:hAnsi="Tahoma"/>
              </w:rPr>
              <w:t xml:space="preserve">Сепак, нагорните ризици околу цената на нафтата </w:t>
            </w:r>
            <w:proofErr w:type="spellStart"/>
            <w:r w:rsidRPr="00A26B71">
              <w:rPr>
                <w:rFonts w:ascii="Tahoma" w:hAnsi="Tahoma"/>
              </w:rPr>
              <w:t>сѐ</w:t>
            </w:r>
            <w:proofErr w:type="spellEnd"/>
            <w:r w:rsidRPr="00A26B71">
              <w:rPr>
                <w:rFonts w:ascii="Tahoma" w:hAnsi="Tahoma"/>
                <w:lang w:val="en-US"/>
              </w:rPr>
              <w:t xml:space="preserve"> </w:t>
            </w:r>
            <w:r w:rsidRPr="00A26B71">
              <w:rPr>
                <w:rFonts w:ascii="Tahoma" w:hAnsi="Tahoma"/>
              </w:rPr>
              <w:t xml:space="preserve">уште се присутни и се поврзани со нестабилноста во Ирак и </w:t>
            </w:r>
            <w:r w:rsidR="008B3AF6">
              <w:rPr>
                <w:rFonts w:ascii="Tahoma" w:hAnsi="Tahoma"/>
              </w:rPr>
              <w:t>одолжувањето</w:t>
            </w:r>
            <w:r w:rsidR="008B3AF6" w:rsidRPr="00A26B71">
              <w:rPr>
                <w:rFonts w:ascii="Tahoma" w:hAnsi="Tahoma"/>
              </w:rPr>
              <w:t xml:space="preserve"> </w:t>
            </w:r>
            <w:r w:rsidRPr="00A26B71">
              <w:rPr>
                <w:rFonts w:ascii="Tahoma" w:hAnsi="Tahoma"/>
              </w:rPr>
              <w:t>на конфликтот во источна Украина</w:t>
            </w:r>
            <w:r w:rsidRPr="00A26B71">
              <w:rPr>
                <w:rFonts w:ascii="Tahoma" w:hAnsi="Tahoma"/>
                <w:vertAlign w:val="superscript"/>
              </w:rPr>
              <w:footnoteReference w:id="2"/>
            </w:r>
            <w:r w:rsidRPr="00A26B71">
              <w:rPr>
                <w:rFonts w:ascii="Tahoma" w:hAnsi="Tahoma"/>
                <w:lang w:val="en-US"/>
              </w:rPr>
              <w:t xml:space="preserve">. </w:t>
            </w:r>
          </w:p>
          <w:p w:rsidR="00A26B71" w:rsidRPr="00A26B71" w:rsidRDefault="00A26B71" w:rsidP="00A26B71">
            <w:pPr>
              <w:jc w:val="both"/>
              <w:rPr>
                <w:rFonts w:ascii="Tahoma" w:hAnsi="Tahoma"/>
              </w:rPr>
            </w:pPr>
          </w:p>
          <w:p w:rsidR="00A26B71" w:rsidRPr="00A26B71" w:rsidRDefault="00A26B71" w:rsidP="00A26B71">
            <w:pPr>
              <w:jc w:val="both"/>
              <w:rPr>
                <w:rFonts w:ascii="Tahoma" w:hAnsi="Tahoma"/>
                <w:b/>
              </w:rPr>
            </w:pPr>
            <w:r w:rsidRPr="00A26B71">
              <w:rPr>
                <w:rFonts w:ascii="Tahoma" w:hAnsi="Tahoma"/>
                <w:b/>
              </w:rPr>
              <w:t xml:space="preserve">За 2015 година </w:t>
            </w:r>
            <w:r w:rsidR="002F02B6">
              <w:rPr>
                <w:rFonts w:ascii="Tahoma" w:hAnsi="Tahoma"/>
                <w:b/>
              </w:rPr>
              <w:t xml:space="preserve">е </w:t>
            </w:r>
            <w:r w:rsidRPr="00A26B71">
              <w:rPr>
                <w:rFonts w:ascii="Tahoma" w:hAnsi="Tahoma"/>
                <w:b/>
              </w:rPr>
              <w:t>извршена  нагорна корекција за цената на нафтата, односно сега се очекува нејзин умерен</w:t>
            </w:r>
            <w:r w:rsidRPr="00A26B71">
              <w:rPr>
                <w:rFonts w:ascii="Tahoma" w:hAnsi="Tahoma"/>
                <w:b/>
                <w:lang w:val="en-US"/>
              </w:rPr>
              <w:t xml:space="preserve"> </w:t>
            </w:r>
            <w:r w:rsidRPr="00A26B71">
              <w:rPr>
                <w:rFonts w:ascii="Tahoma" w:hAnsi="Tahoma"/>
                <w:b/>
              </w:rPr>
              <w:t xml:space="preserve">раст наспроти очекуваниот пад во април (1,4% наспроти -1,6%). </w:t>
            </w:r>
          </w:p>
          <w:p w:rsidR="00132D29" w:rsidRPr="00132D29" w:rsidRDefault="00132D29" w:rsidP="00AC0F0A">
            <w:pPr>
              <w:jc w:val="both"/>
              <w:rPr>
                <w:rFonts w:ascii="Tahoma" w:hAnsi="Tahoma"/>
                <w:szCs w:val="22"/>
                <w:highlight w:val="yellow"/>
                <w:lang w:val="en-US"/>
              </w:rPr>
            </w:pPr>
          </w:p>
        </w:tc>
      </w:tr>
      <w:tr w:rsidR="00132D29" w:rsidRPr="00B0241C" w:rsidTr="00A26B71">
        <w:trPr>
          <w:trHeight w:val="1843"/>
        </w:trPr>
        <w:tc>
          <w:tcPr>
            <w:tcW w:w="6253" w:type="dxa"/>
          </w:tcPr>
          <w:p w:rsidR="00132D29" w:rsidRDefault="00A26B71" w:rsidP="00394344">
            <w:pPr>
              <w:rPr>
                <w:rFonts w:ascii="Tahoma" w:hAnsi="Tahoma"/>
                <w:szCs w:val="22"/>
                <w:highlight w:val="yellow"/>
              </w:rPr>
            </w:pPr>
            <w:r w:rsidRPr="001E49BC">
              <w:rPr>
                <w:rFonts w:ascii="Tahoma" w:hAnsi="Tahoma"/>
                <w:noProof/>
                <w:lang w:val="en-US"/>
              </w:rPr>
              <w:drawing>
                <wp:inline distT="0" distB="0" distL="0" distR="0">
                  <wp:extent cx="3529584" cy="3026664"/>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9584" cy="3026664"/>
                          </a:xfrm>
                          <a:prstGeom prst="rect">
                            <a:avLst/>
                          </a:prstGeom>
                          <a:noFill/>
                          <a:ln>
                            <a:noFill/>
                          </a:ln>
                        </pic:spPr>
                      </pic:pic>
                    </a:graphicData>
                  </a:graphic>
                </wp:inline>
              </w:drawing>
            </w:r>
          </w:p>
          <w:p w:rsidR="00A26B71" w:rsidRPr="00A26B71" w:rsidRDefault="00A26B71" w:rsidP="00A26B71">
            <w:pPr>
              <w:rPr>
                <w:rFonts w:ascii="Tahoma" w:hAnsi="Tahoma"/>
                <w:sz w:val="18"/>
                <w:szCs w:val="18"/>
                <w:lang w:val="en-US"/>
              </w:rPr>
            </w:pPr>
            <w:r w:rsidRPr="00A26B71">
              <w:rPr>
                <w:rFonts w:ascii="Tahoma" w:hAnsi="Tahoma"/>
                <w:sz w:val="18"/>
                <w:szCs w:val="18"/>
              </w:rPr>
              <w:t>Извор: ММФ</w:t>
            </w:r>
            <w:r w:rsidR="00721F1E">
              <w:rPr>
                <w:rFonts w:ascii="Tahoma" w:hAnsi="Tahoma"/>
                <w:sz w:val="18"/>
                <w:szCs w:val="18"/>
              </w:rPr>
              <w:t xml:space="preserve"> </w:t>
            </w:r>
            <w:r w:rsidRPr="00A26B71">
              <w:rPr>
                <w:rFonts w:ascii="Tahoma" w:hAnsi="Tahoma"/>
                <w:sz w:val="18"/>
                <w:szCs w:val="18"/>
              </w:rPr>
              <w:t xml:space="preserve">и пресметки на НБРМ. </w:t>
            </w:r>
          </w:p>
          <w:p w:rsidR="00A26B71" w:rsidRDefault="00A26B71" w:rsidP="00394344">
            <w:pPr>
              <w:rPr>
                <w:rFonts w:ascii="Tahoma" w:hAnsi="Tahoma"/>
                <w:szCs w:val="22"/>
                <w:highlight w:val="yellow"/>
              </w:rPr>
            </w:pPr>
          </w:p>
          <w:p w:rsidR="00A26B71" w:rsidRPr="00A26B71" w:rsidRDefault="00A26B71" w:rsidP="00A26B71">
            <w:pPr>
              <w:rPr>
                <w:rFonts w:ascii="Tahoma" w:hAnsi="Tahoma"/>
                <w:szCs w:val="22"/>
                <w:highlight w:val="yellow"/>
              </w:rPr>
            </w:pPr>
          </w:p>
        </w:tc>
        <w:tc>
          <w:tcPr>
            <w:tcW w:w="4237" w:type="dxa"/>
            <w:vAlign w:val="center"/>
          </w:tcPr>
          <w:p w:rsidR="00A26B71" w:rsidRPr="00A26B71" w:rsidRDefault="00A26B71" w:rsidP="00A26B71">
            <w:pPr>
              <w:jc w:val="both"/>
              <w:rPr>
                <w:rFonts w:ascii="Tahoma" w:hAnsi="Tahoma"/>
                <w:b/>
              </w:rPr>
            </w:pPr>
            <w:r w:rsidRPr="00A26B71">
              <w:rPr>
                <w:rFonts w:ascii="Tahoma" w:hAnsi="Tahoma"/>
                <w:b/>
              </w:rPr>
              <w:lastRenderedPageBreak/>
              <w:t xml:space="preserve">Последните оцени за движењето на цените на бакарот и никелот во 2014 година упатуваат на нагорни корекции споредено со априлската проекција. </w:t>
            </w:r>
          </w:p>
          <w:p w:rsidR="00A26B71" w:rsidRPr="00A26B71" w:rsidRDefault="00A26B71" w:rsidP="00A26B71">
            <w:pPr>
              <w:jc w:val="both"/>
              <w:rPr>
                <w:rFonts w:ascii="Tahoma" w:hAnsi="Tahoma"/>
              </w:rPr>
            </w:pPr>
          </w:p>
          <w:p w:rsidR="00A26B71" w:rsidRPr="00A26B71" w:rsidRDefault="00A26B71" w:rsidP="00A26B71">
            <w:pPr>
              <w:jc w:val="both"/>
              <w:rPr>
                <w:rFonts w:ascii="Tahoma" w:hAnsi="Tahoma"/>
              </w:rPr>
            </w:pPr>
            <w:r w:rsidRPr="00A26B71">
              <w:rPr>
                <w:rFonts w:ascii="Tahoma" w:hAnsi="Tahoma"/>
              </w:rPr>
              <w:t xml:space="preserve">Така, </w:t>
            </w:r>
            <w:r w:rsidR="002F02B6" w:rsidRPr="00A26B71">
              <w:rPr>
                <w:rFonts w:ascii="Tahoma" w:hAnsi="Tahoma"/>
              </w:rPr>
              <w:t xml:space="preserve">се очекува </w:t>
            </w:r>
            <w:r w:rsidRPr="00A26B71">
              <w:rPr>
                <w:rFonts w:ascii="Tahoma" w:hAnsi="Tahoma"/>
              </w:rPr>
              <w:t xml:space="preserve">цената на бакарот да оствари помал пад од 6,6% (наспроти проектираниот пад од 8,5% во април) при солиден раст на кинеската економија. </w:t>
            </w:r>
          </w:p>
          <w:p w:rsidR="00A26B71" w:rsidRPr="00A26B71" w:rsidRDefault="00A26B71" w:rsidP="00A26B71">
            <w:pPr>
              <w:jc w:val="both"/>
              <w:rPr>
                <w:rFonts w:ascii="Tahoma" w:hAnsi="Tahoma"/>
              </w:rPr>
            </w:pPr>
          </w:p>
          <w:p w:rsidR="00A26B71" w:rsidRDefault="00A26B71" w:rsidP="00A26B71">
            <w:pPr>
              <w:jc w:val="both"/>
              <w:rPr>
                <w:rFonts w:ascii="Tahoma" w:hAnsi="Tahoma"/>
              </w:rPr>
            </w:pPr>
            <w:r w:rsidRPr="00A26B71">
              <w:rPr>
                <w:rFonts w:ascii="Tahoma" w:hAnsi="Tahoma"/>
              </w:rPr>
              <w:t xml:space="preserve">Нагорна ревизија е направена и кај цената на никелот при очекуван раст од 14,2% (наспроти 1,7% во април) што во најголем дел се објаснува со воведената забрана за извоз на никел од Индонезија. </w:t>
            </w:r>
          </w:p>
          <w:p w:rsidR="00B05781" w:rsidRDefault="00B05781" w:rsidP="00A26B71">
            <w:pPr>
              <w:jc w:val="both"/>
              <w:rPr>
                <w:rFonts w:ascii="Tahoma" w:hAnsi="Tahoma"/>
              </w:rPr>
            </w:pPr>
          </w:p>
          <w:p w:rsidR="00B05781" w:rsidRDefault="00B05781" w:rsidP="00AC0F0A">
            <w:pPr>
              <w:jc w:val="both"/>
              <w:rPr>
                <w:rFonts w:ascii="Tahoma" w:hAnsi="Tahoma"/>
                <w:b/>
              </w:rPr>
            </w:pPr>
          </w:p>
          <w:p w:rsidR="00132D29" w:rsidRPr="00132D29" w:rsidRDefault="00A26B71" w:rsidP="00AC0F0A">
            <w:pPr>
              <w:jc w:val="both"/>
              <w:rPr>
                <w:rFonts w:ascii="Tahoma" w:hAnsi="Tahoma"/>
                <w:szCs w:val="22"/>
                <w:highlight w:val="yellow"/>
                <w:lang w:val="en-US"/>
              </w:rPr>
            </w:pPr>
            <w:r w:rsidRPr="001E49BC">
              <w:rPr>
                <w:rFonts w:ascii="Tahoma" w:hAnsi="Tahoma"/>
                <w:b/>
              </w:rPr>
              <w:t>Најновата оценка за 2015 година предвидува повисок раст на цените на металите во споредба со априлската проекција</w:t>
            </w:r>
            <w:r>
              <w:rPr>
                <w:rFonts w:ascii="Tahoma" w:hAnsi="Tahoma"/>
                <w:b/>
              </w:rPr>
              <w:t>.</w:t>
            </w:r>
          </w:p>
        </w:tc>
      </w:tr>
      <w:tr w:rsidR="00132D29" w:rsidRPr="00B0241C" w:rsidTr="00802A10">
        <w:trPr>
          <w:trHeight w:val="2298"/>
        </w:trPr>
        <w:tc>
          <w:tcPr>
            <w:tcW w:w="6253" w:type="dxa"/>
          </w:tcPr>
          <w:p w:rsidR="004B5747" w:rsidRDefault="004B5747" w:rsidP="00394344">
            <w:pPr>
              <w:rPr>
                <w:rFonts w:ascii="Tahoma" w:hAnsi="Tahoma"/>
                <w:noProof/>
                <w:sz w:val="18"/>
                <w:szCs w:val="18"/>
              </w:rPr>
            </w:pPr>
          </w:p>
          <w:p w:rsidR="004B5747" w:rsidRDefault="004B5747" w:rsidP="00394344">
            <w:pPr>
              <w:rPr>
                <w:rFonts w:ascii="Tahoma" w:hAnsi="Tahoma"/>
                <w:noProof/>
                <w:sz w:val="18"/>
                <w:szCs w:val="18"/>
              </w:rPr>
            </w:pPr>
          </w:p>
          <w:p w:rsidR="004B5747" w:rsidRDefault="004B5747" w:rsidP="00394344">
            <w:pPr>
              <w:rPr>
                <w:rFonts w:ascii="Tahoma" w:hAnsi="Tahoma"/>
                <w:noProof/>
                <w:sz w:val="18"/>
                <w:szCs w:val="18"/>
              </w:rPr>
            </w:pPr>
          </w:p>
          <w:p w:rsidR="004B5747" w:rsidRDefault="004B5747" w:rsidP="00394344">
            <w:pPr>
              <w:rPr>
                <w:rFonts w:ascii="Tahoma" w:hAnsi="Tahoma"/>
                <w:noProof/>
                <w:sz w:val="18"/>
                <w:szCs w:val="18"/>
              </w:rPr>
            </w:pPr>
          </w:p>
          <w:p w:rsidR="004B5747" w:rsidRDefault="004B5747" w:rsidP="00394344">
            <w:pPr>
              <w:rPr>
                <w:rFonts w:ascii="Tahoma" w:hAnsi="Tahoma"/>
                <w:noProof/>
                <w:sz w:val="18"/>
                <w:szCs w:val="18"/>
              </w:rPr>
            </w:pPr>
          </w:p>
          <w:p w:rsidR="00132D29" w:rsidRDefault="00A26B71" w:rsidP="00394344">
            <w:pPr>
              <w:rPr>
                <w:rFonts w:ascii="Tahoma" w:hAnsi="Tahoma"/>
                <w:szCs w:val="22"/>
                <w:highlight w:val="yellow"/>
              </w:rPr>
            </w:pPr>
            <w:r w:rsidRPr="001E49BC">
              <w:rPr>
                <w:rFonts w:ascii="Tahoma" w:hAnsi="Tahoma"/>
                <w:noProof/>
                <w:sz w:val="18"/>
                <w:szCs w:val="18"/>
                <w:lang w:val="en-US"/>
              </w:rPr>
              <w:drawing>
                <wp:inline distT="0" distB="0" distL="0" distR="0">
                  <wp:extent cx="3705225" cy="318833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225" cy="3188335"/>
                          </a:xfrm>
                          <a:prstGeom prst="rect">
                            <a:avLst/>
                          </a:prstGeom>
                          <a:noFill/>
                          <a:ln>
                            <a:noFill/>
                          </a:ln>
                        </pic:spPr>
                      </pic:pic>
                    </a:graphicData>
                  </a:graphic>
                </wp:inline>
              </w:drawing>
            </w:r>
          </w:p>
          <w:p w:rsidR="00A26B71" w:rsidRPr="00A26B71" w:rsidRDefault="00A26B71" w:rsidP="00A26B71">
            <w:pPr>
              <w:rPr>
                <w:rFonts w:ascii="Tahoma" w:hAnsi="Tahoma"/>
                <w:sz w:val="18"/>
                <w:szCs w:val="18"/>
                <w:lang w:val="en-US"/>
              </w:rPr>
            </w:pPr>
            <w:r w:rsidRPr="00A26B71">
              <w:rPr>
                <w:rFonts w:ascii="Tahoma" w:hAnsi="Tahoma"/>
                <w:sz w:val="18"/>
                <w:szCs w:val="18"/>
              </w:rPr>
              <w:t xml:space="preserve">Извор: ММФ и пресметки на НБРМ. </w:t>
            </w:r>
          </w:p>
          <w:p w:rsidR="00A26B71" w:rsidRDefault="00A26B71" w:rsidP="00394344">
            <w:pPr>
              <w:rPr>
                <w:rFonts w:ascii="Tahoma" w:hAnsi="Tahoma"/>
                <w:szCs w:val="22"/>
                <w:highlight w:val="yellow"/>
              </w:rPr>
            </w:pPr>
          </w:p>
          <w:p w:rsidR="00A26B71" w:rsidRDefault="00A26B71" w:rsidP="00394344">
            <w:pPr>
              <w:rPr>
                <w:rFonts w:ascii="Tahoma" w:hAnsi="Tahoma"/>
                <w:szCs w:val="22"/>
                <w:highlight w:val="yellow"/>
              </w:rPr>
            </w:pPr>
          </w:p>
          <w:p w:rsidR="00A26B71" w:rsidRPr="00A26B71" w:rsidRDefault="00A26B71" w:rsidP="00394344">
            <w:pPr>
              <w:rPr>
                <w:rFonts w:ascii="Tahoma" w:hAnsi="Tahoma"/>
                <w:szCs w:val="22"/>
                <w:highlight w:val="yellow"/>
              </w:rPr>
            </w:pPr>
          </w:p>
        </w:tc>
        <w:tc>
          <w:tcPr>
            <w:tcW w:w="4237" w:type="dxa"/>
            <w:vAlign w:val="center"/>
          </w:tcPr>
          <w:p w:rsidR="004B5747" w:rsidRDefault="004B5747" w:rsidP="00B365D9">
            <w:pPr>
              <w:jc w:val="both"/>
              <w:rPr>
                <w:rFonts w:ascii="Tahoma" w:hAnsi="Tahoma"/>
                <w:b/>
              </w:rPr>
            </w:pPr>
          </w:p>
          <w:p w:rsidR="00B365D9" w:rsidRPr="00B365D9" w:rsidRDefault="00B365D9" w:rsidP="00B365D9">
            <w:pPr>
              <w:jc w:val="both"/>
              <w:rPr>
                <w:rFonts w:ascii="Tahoma" w:hAnsi="Tahoma"/>
                <w:b/>
              </w:rPr>
            </w:pPr>
            <w:r w:rsidRPr="00B365D9">
              <w:rPr>
                <w:rFonts w:ascii="Tahoma" w:hAnsi="Tahoma"/>
                <w:b/>
              </w:rPr>
              <w:t>Најновите</w:t>
            </w:r>
            <w:r w:rsidRPr="00B365D9">
              <w:rPr>
                <w:rFonts w:ascii="Tahoma" w:hAnsi="Tahoma"/>
                <w:b/>
                <w:lang w:val="en-US"/>
              </w:rPr>
              <w:t xml:space="preserve"> </w:t>
            </w:r>
            <w:r w:rsidRPr="00B365D9">
              <w:rPr>
                <w:rFonts w:ascii="Tahoma" w:hAnsi="Tahoma"/>
                <w:b/>
              </w:rPr>
              <w:t xml:space="preserve">оценки за движењата на цените на житните производи за 2014 година упатуваат на надолни корекции споредено со априлската проекција. </w:t>
            </w:r>
          </w:p>
          <w:p w:rsidR="00B365D9" w:rsidRPr="00B365D9" w:rsidRDefault="00B365D9" w:rsidP="00B365D9">
            <w:pPr>
              <w:jc w:val="both"/>
              <w:rPr>
                <w:rFonts w:ascii="Tahoma" w:hAnsi="Tahoma"/>
                <w:b/>
              </w:rPr>
            </w:pPr>
          </w:p>
          <w:p w:rsidR="00B365D9" w:rsidRPr="00B365D9" w:rsidRDefault="00B365D9" w:rsidP="00B365D9">
            <w:pPr>
              <w:jc w:val="both"/>
              <w:rPr>
                <w:rFonts w:ascii="Tahoma" w:hAnsi="Tahoma"/>
              </w:rPr>
            </w:pPr>
            <w:r w:rsidRPr="00B365D9">
              <w:rPr>
                <w:rFonts w:ascii="Tahoma" w:hAnsi="Tahoma"/>
              </w:rPr>
              <w:t xml:space="preserve">Тековно, се очекува намалување на цената на пченицата од 9% (наспроти растот од 5,8% во април) како резултат на подобрените изгледи за глобалната понуда и намалената загриженост за потенцијалните загуби на понуда од Украина. </w:t>
            </w:r>
          </w:p>
          <w:p w:rsidR="00B365D9" w:rsidRPr="00B365D9" w:rsidRDefault="00B365D9" w:rsidP="00B365D9">
            <w:pPr>
              <w:jc w:val="both"/>
              <w:rPr>
                <w:rFonts w:ascii="Tahoma" w:hAnsi="Tahoma"/>
              </w:rPr>
            </w:pPr>
          </w:p>
          <w:p w:rsidR="00B365D9" w:rsidRPr="00B365D9" w:rsidRDefault="00E174C1" w:rsidP="00B365D9">
            <w:pPr>
              <w:jc w:val="both"/>
            </w:pPr>
            <w:r>
              <w:rPr>
                <w:rFonts w:ascii="Tahoma" w:hAnsi="Tahoma"/>
              </w:rPr>
              <w:t>С</w:t>
            </w:r>
            <w:r w:rsidRPr="00B365D9">
              <w:rPr>
                <w:rFonts w:ascii="Tahoma" w:hAnsi="Tahoma"/>
              </w:rPr>
              <w:t xml:space="preserve">е очекува </w:t>
            </w:r>
            <w:r>
              <w:rPr>
                <w:rFonts w:ascii="Tahoma" w:hAnsi="Tahoma"/>
              </w:rPr>
              <w:t>намалување на ц</w:t>
            </w:r>
            <w:r w:rsidR="00B365D9" w:rsidRPr="00B365D9">
              <w:rPr>
                <w:rFonts w:ascii="Tahoma" w:hAnsi="Tahoma"/>
              </w:rPr>
              <w:t>ената на пченката за 29,3% во 2014 година (наспроти очекуваниот пад од 13% во април) што се поврзува со добрите приноси од последната жетва во САД и очекувањата з</w:t>
            </w:r>
            <w:bookmarkStart w:id="0" w:name="_GoBack"/>
            <w:bookmarkEnd w:id="0"/>
            <w:r w:rsidR="00B365D9" w:rsidRPr="00B365D9">
              <w:rPr>
                <w:rFonts w:ascii="Tahoma" w:hAnsi="Tahoma"/>
              </w:rPr>
              <w:t>а раст на глобалните залихи на пченка</w:t>
            </w:r>
            <w:r w:rsidR="00B365D9" w:rsidRPr="00B365D9">
              <w:rPr>
                <w:rFonts w:ascii="Tahoma" w:hAnsi="Tahoma"/>
                <w:vertAlign w:val="superscript"/>
              </w:rPr>
              <w:footnoteReference w:id="3"/>
            </w:r>
            <w:r w:rsidR="00B365D9" w:rsidRPr="00B365D9">
              <w:rPr>
                <w:rFonts w:ascii="Tahoma" w:hAnsi="Tahoma"/>
              </w:rPr>
              <w:t xml:space="preserve">. </w:t>
            </w:r>
          </w:p>
          <w:p w:rsidR="00B365D9" w:rsidRPr="00B365D9" w:rsidRDefault="00B365D9" w:rsidP="00B365D9">
            <w:pPr>
              <w:jc w:val="both"/>
              <w:rPr>
                <w:rFonts w:ascii="Tahoma" w:hAnsi="Tahoma"/>
                <w:color w:val="FF0000"/>
              </w:rPr>
            </w:pPr>
          </w:p>
          <w:p w:rsidR="00132D29" w:rsidRDefault="00B365D9" w:rsidP="00B365D9">
            <w:pPr>
              <w:jc w:val="both"/>
              <w:rPr>
                <w:rFonts w:ascii="Tahoma" w:hAnsi="Tahoma"/>
                <w:b/>
              </w:rPr>
            </w:pPr>
            <w:r w:rsidRPr="00B365D9">
              <w:rPr>
                <w:rFonts w:ascii="Tahoma" w:hAnsi="Tahoma"/>
                <w:b/>
              </w:rPr>
              <w:t>Во согласност со промените за 2014 година, направени се надолни корекции на очекуваните цени на житните култури за 2015 година кога се очекува понизок раст на цените на пченицата и пад наместо раст на цените на пченката во споредба со априлската проекција.</w:t>
            </w:r>
          </w:p>
          <w:p w:rsidR="00B365D9" w:rsidRPr="00132D29" w:rsidRDefault="00B365D9" w:rsidP="00B365D9">
            <w:pPr>
              <w:jc w:val="both"/>
              <w:rPr>
                <w:rFonts w:ascii="Tahoma" w:hAnsi="Tahoma"/>
                <w:szCs w:val="22"/>
                <w:highlight w:val="yellow"/>
                <w:lang w:val="en-US"/>
              </w:rPr>
            </w:pPr>
          </w:p>
        </w:tc>
      </w:tr>
      <w:tr w:rsidR="00132D29" w:rsidRPr="00B0241C" w:rsidTr="00802A10">
        <w:trPr>
          <w:trHeight w:val="2298"/>
        </w:trPr>
        <w:tc>
          <w:tcPr>
            <w:tcW w:w="6253" w:type="dxa"/>
          </w:tcPr>
          <w:p w:rsidR="00132D29" w:rsidRPr="00935BA1" w:rsidRDefault="00B365D9" w:rsidP="00394344">
            <w:pPr>
              <w:rPr>
                <w:rFonts w:ascii="Tahoma" w:hAnsi="Tahoma"/>
                <w:szCs w:val="22"/>
                <w:highlight w:val="yellow"/>
                <w:lang w:val="en-US"/>
              </w:rPr>
            </w:pPr>
            <w:r w:rsidRPr="001E49BC">
              <w:rPr>
                <w:rFonts w:ascii="Tahoma" w:hAnsi="Tahoma"/>
                <w:noProof/>
                <w:sz w:val="18"/>
                <w:szCs w:val="18"/>
                <w:lang w:val="en-US"/>
              </w:rPr>
              <w:lastRenderedPageBreak/>
              <w:drawing>
                <wp:inline distT="0" distB="0" distL="0" distR="0">
                  <wp:extent cx="3713480" cy="318833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3480" cy="3188335"/>
                          </a:xfrm>
                          <a:prstGeom prst="rect">
                            <a:avLst/>
                          </a:prstGeom>
                          <a:noFill/>
                          <a:ln>
                            <a:noFill/>
                          </a:ln>
                        </pic:spPr>
                      </pic:pic>
                    </a:graphicData>
                  </a:graphic>
                </wp:inline>
              </w:drawing>
            </w:r>
          </w:p>
        </w:tc>
        <w:tc>
          <w:tcPr>
            <w:tcW w:w="4237" w:type="dxa"/>
            <w:vAlign w:val="center"/>
          </w:tcPr>
          <w:p w:rsidR="00B365D9" w:rsidRPr="00B365D9" w:rsidRDefault="00B365D9" w:rsidP="00B365D9">
            <w:pPr>
              <w:ind w:right="-9"/>
              <w:jc w:val="both"/>
              <w:rPr>
                <w:rFonts w:ascii="Tahoma" w:hAnsi="Tahoma"/>
                <w:b/>
              </w:rPr>
            </w:pPr>
            <w:r w:rsidRPr="00B365D9">
              <w:rPr>
                <w:rFonts w:ascii="Tahoma" w:hAnsi="Tahoma"/>
                <w:b/>
              </w:rPr>
              <w:t xml:space="preserve">Очекувањата за краткорочната каматна стапка ЕУРИБОР во 2014 година се ревидирани во надолна насока споредено со априлската проекција... </w:t>
            </w:r>
          </w:p>
          <w:p w:rsidR="00B365D9" w:rsidRPr="00B365D9" w:rsidRDefault="00B365D9" w:rsidP="00B365D9">
            <w:pPr>
              <w:ind w:right="-9"/>
              <w:jc w:val="both"/>
              <w:rPr>
                <w:rFonts w:ascii="Tahoma" w:hAnsi="Tahoma"/>
                <w:b/>
              </w:rPr>
            </w:pPr>
          </w:p>
          <w:p w:rsidR="00B365D9" w:rsidRPr="00A50833" w:rsidRDefault="00D81441" w:rsidP="00B365D9">
            <w:pPr>
              <w:ind w:right="-9"/>
              <w:jc w:val="both"/>
              <w:rPr>
                <w:rFonts w:ascii="Tahoma" w:hAnsi="Tahoma"/>
              </w:rPr>
            </w:pPr>
            <w:r>
              <w:rPr>
                <w:rFonts w:ascii="Tahoma" w:hAnsi="Tahoma"/>
              </w:rPr>
              <w:t>...</w:t>
            </w:r>
            <w:r w:rsidRPr="00A50833">
              <w:rPr>
                <w:rFonts w:ascii="Tahoma" w:hAnsi="Tahoma"/>
              </w:rPr>
              <w:t xml:space="preserve">при што </w:t>
            </w:r>
            <w:r w:rsidR="00B365D9" w:rsidRPr="00A50833">
              <w:rPr>
                <w:rFonts w:ascii="Tahoma" w:hAnsi="Tahoma"/>
              </w:rPr>
              <w:t xml:space="preserve">се оценува дека едномесечниот ЕУРИБОР во просек ќе изнесува 0,16% (наспроти 0,23% во априлската проекција)... </w:t>
            </w:r>
          </w:p>
          <w:p w:rsidR="00B365D9" w:rsidRPr="00A50833" w:rsidRDefault="00B365D9" w:rsidP="00B365D9">
            <w:pPr>
              <w:ind w:right="-9"/>
              <w:jc w:val="both"/>
              <w:rPr>
                <w:rFonts w:ascii="Tahoma" w:hAnsi="Tahoma"/>
              </w:rPr>
            </w:pPr>
          </w:p>
          <w:p w:rsidR="00B365D9" w:rsidRPr="00A50833" w:rsidRDefault="00D81441" w:rsidP="00B365D9">
            <w:pPr>
              <w:autoSpaceDE w:val="0"/>
              <w:autoSpaceDN w:val="0"/>
              <w:adjustRightInd w:val="0"/>
              <w:jc w:val="both"/>
              <w:rPr>
                <w:rFonts w:ascii="Tahoma" w:hAnsi="Tahoma"/>
                <w:szCs w:val="22"/>
              </w:rPr>
            </w:pPr>
            <w:r w:rsidRPr="00A50833">
              <w:rPr>
                <w:rFonts w:ascii="Tahoma" w:hAnsi="Tahoma"/>
              </w:rPr>
              <w:t>...</w:t>
            </w:r>
            <w:r w:rsidR="00B365D9" w:rsidRPr="00A50833">
              <w:rPr>
                <w:rFonts w:ascii="Tahoma" w:hAnsi="Tahoma"/>
                <w:szCs w:val="22"/>
              </w:rPr>
              <w:t xml:space="preserve">како пазарна реакција на преземените мерки на ЕЦБ </w:t>
            </w:r>
            <w:r w:rsidRPr="00A50833">
              <w:rPr>
                <w:rFonts w:ascii="Tahoma" w:hAnsi="Tahoma"/>
              </w:rPr>
              <w:t xml:space="preserve">на почетокот на јуни </w:t>
            </w:r>
            <w:r w:rsidR="00B365D9" w:rsidRPr="00A50833">
              <w:rPr>
                <w:rFonts w:ascii="Tahoma" w:hAnsi="Tahoma"/>
              </w:rPr>
              <w:t>2014 година</w:t>
            </w:r>
            <w:r w:rsidR="00B365D9" w:rsidRPr="00A50833">
              <w:rPr>
                <w:rFonts w:ascii="Tahoma" w:hAnsi="Tahoma"/>
                <w:szCs w:val="22"/>
              </w:rPr>
              <w:t xml:space="preserve"> за спречување на </w:t>
            </w:r>
            <w:proofErr w:type="spellStart"/>
            <w:r w:rsidR="00B365D9" w:rsidRPr="00A50833">
              <w:rPr>
                <w:rFonts w:ascii="Tahoma" w:hAnsi="Tahoma"/>
                <w:szCs w:val="22"/>
              </w:rPr>
              <w:t>дефлациските</w:t>
            </w:r>
            <w:proofErr w:type="spellEnd"/>
            <w:r w:rsidR="00B365D9" w:rsidRPr="00A50833">
              <w:rPr>
                <w:rFonts w:ascii="Tahoma" w:hAnsi="Tahoma"/>
                <w:szCs w:val="22"/>
              </w:rPr>
              <w:t xml:space="preserve"> тенденции во </w:t>
            </w:r>
            <w:proofErr w:type="spellStart"/>
            <w:r w:rsidR="00B365D9" w:rsidRPr="00A50833">
              <w:rPr>
                <w:rFonts w:ascii="Tahoma" w:hAnsi="Tahoma"/>
                <w:szCs w:val="22"/>
              </w:rPr>
              <w:t>евро-зоната</w:t>
            </w:r>
            <w:proofErr w:type="spellEnd"/>
            <w:r w:rsidR="00B365D9" w:rsidRPr="00A50833">
              <w:rPr>
                <w:rFonts w:ascii="Tahoma" w:hAnsi="Tahoma"/>
                <w:szCs w:val="22"/>
              </w:rPr>
              <w:t xml:space="preserve"> и за поддршка на заздравувањето на економијата</w:t>
            </w:r>
            <w:r w:rsidR="00B365D9" w:rsidRPr="00A50833">
              <w:rPr>
                <w:rFonts w:ascii="Tahoma" w:hAnsi="Tahoma"/>
                <w:vertAlign w:val="superscript"/>
              </w:rPr>
              <w:footnoteReference w:id="4"/>
            </w:r>
            <w:r w:rsidR="00B365D9" w:rsidRPr="00A50833">
              <w:rPr>
                <w:rFonts w:ascii="Tahoma" w:hAnsi="Tahoma"/>
              </w:rPr>
              <w:t xml:space="preserve">. </w:t>
            </w:r>
          </w:p>
          <w:p w:rsidR="00B365D9" w:rsidRPr="00B365D9" w:rsidRDefault="00B365D9" w:rsidP="00B365D9">
            <w:pPr>
              <w:ind w:right="-9"/>
              <w:jc w:val="both"/>
              <w:rPr>
                <w:rFonts w:ascii="Tahoma" w:hAnsi="Tahoma"/>
                <w:color w:val="FF0000"/>
              </w:rPr>
            </w:pPr>
          </w:p>
          <w:p w:rsidR="00132D29" w:rsidRPr="00132D29" w:rsidRDefault="00B365D9" w:rsidP="00B365D9">
            <w:pPr>
              <w:jc w:val="both"/>
              <w:rPr>
                <w:rFonts w:ascii="Tahoma" w:hAnsi="Tahoma"/>
                <w:szCs w:val="22"/>
                <w:highlight w:val="yellow"/>
                <w:lang w:val="en-US"/>
              </w:rPr>
            </w:pPr>
            <w:r w:rsidRPr="00B365D9">
              <w:rPr>
                <w:rFonts w:ascii="Tahoma" w:hAnsi="Tahoma"/>
                <w:b/>
                <w:bCs/>
                <w:szCs w:val="22"/>
              </w:rPr>
              <w:t xml:space="preserve">Најновите </w:t>
            </w:r>
            <w:proofErr w:type="spellStart"/>
            <w:r w:rsidRPr="00B365D9">
              <w:rPr>
                <w:rFonts w:ascii="Tahoma" w:hAnsi="Tahoma"/>
                <w:b/>
                <w:bCs/>
                <w:szCs w:val="22"/>
              </w:rPr>
              <w:t>проценки</w:t>
            </w:r>
            <w:proofErr w:type="spellEnd"/>
            <w:r w:rsidRPr="00B365D9">
              <w:rPr>
                <w:rFonts w:ascii="Tahoma" w:hAnsi="Tahoma"/>
                <w:b/>
                <w:bCs/>
                <w:szCs w:val="22"/>
              </w:rPr>
              <w:t xml:space="preserve"> за 2015 година укажуваат на дополнително намалување на стапката на ЕУРИБОР</w:t>
            </w:r>
            <w:r w:rsidR="00077C4A">
              <w:rPr>
                <w:rFonts w:ascii="Tahoma" w:hAnsi="Tahoma"/>
                <w:b/>
                <w:bCs/>
                <w:szCs w:val="22"/>
              </w:rPr>
              <w:t>,</w:t>
            </w:r>
            <w:r w:rsidRPr="00B365D9">
              <w:rPr>
                <w:rFonts w:ascii="Tahoma" w:hAnsi="Tahoma"/>
                <w:b/>
                <w:bCs/>
                <w:szCs w:val="22"/>
              </w:rPr>
              <w:t xml:space="preserve"> односно се предвидува просечно ниво од 0,09% (наспроти 0,34% во април).  </w:t>
            </w:r>
          </w:p>
        </w:tc>
      </w:tr>
    </w:tbl>
    <w:p w:rsidR="00572B74" w:rsidRDefault="00572B74" w:rsidP="00572B74">
      <w:pPr>
        <w:ind w:left="-770"/>
      </w:pPr>
    </w:p>
    <w:p w:rsidR="00AB00F4" w:rsidRPr="00AB00F4" w:rsidRDefault="00AB00F4" w:rsidP="00DB36E0">
      <w:pPr>
        <w:jc w:val="both"/>
        <w:rPr>
          <w:rFonts w:ascii="Tahoma" w:hAnsi="Tahoma"/>
        </w:rPr>
        <w:sectPr w:rsidR="00AB00F4" w:rsidRPr="00AB00F4" w:rsidSect="00671077">
          <w:headerReference w:type="default" r:id="rId19"/>
          <w:footerReference w:type="default" r:id="rId20"/>
          <w:pgSz w:w="11907" w:h="16839" w:code="9"/>
          <w:pgMar w:top="1440" w:right="1440" w:bottom="1440" w:left="1440" w:header="720" w:footer="720" w:gutter="0"/>
          <w:cols w:space="284"/>
          <w:titlePg/>
          <w:docGrid w:linePitch="360"/>
        </w:sectPr>
      </w:pPr>
    </w:p>
    <w:tbl>
      <w:tblPr>
        <w:tblW w:w="10740" w:type="dxa"/>
        <w:tblLayout w:type="fixed"/>
        <w:tblLook w:val="04A0"/>
      </w:tblPr>
      <w:tblGrid>
        <w:gridCol w:w="6268"/>
        <w:gridCol w:w="4472"/>
      </w:tblGrid>
      <w:tr w:rsidR="00285AA8" w:rsidRPr="00B0241C" w:rsidTr="00A57112">
        <w:trPr>
          <w:trHeight w:val="702"/>
        </w:trPr>
        <w:tc>
          <w:tcPr>
            <w:tcW w:w="6268" w:type="dxa"/>
            <w:vAlign w:val="center"/>
          </w:tcPr>
          <w:p w:rsidR="00007100" w:rsidRDefault="00D61982" w:rsidP="00A57112">
            <w:pPr>
              <w:jc w:val="center"/>
            </w:pPr>
            <w:r>
              <w:rPr>
                <w:noProof/>
                <w:lang w:val="en-US"/>
              </w:rPr>
              <w:lastRenderedPageBreak/>
              <w:drawing>
                <wp:inline distT="0" distB="0" distL="0" distR="0">
                  <wp:extent cx="3600450" cy="2762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0450" cy="2762250"/>
                          </a:xfrm>
                          <a:prstGeom prst="rect">
                            <a:avLst/>
                          </a:prstGeom>
                          <a:noFill/>
                          <a:ln>
                            <a:noFill/>
                          </a:ln>
                        </pic:spPr>
                      </pic:pic>
                    </a:graphicData>
                  </a:graphic>
                </wp:inline>
              </w:drawing>
            </w:r>
          </w:p>
        </w:tc>
        <w:tc>
          <w:tcPr>
            <w:tcW w:w="4472" w:type="dxa"/>
            <w:vAlign w:val="center"/>
          </w:tcPr>
          <w:p w:rsidR="004B5747" w:rsidRDefault="004B5747" w:rsidP="00A64392">
            <w:pPr>
              <w:jc w:val="both"/>
              <w:rPr>
                <w:rFonts w:ascii="Tahoma" w:hAnsi="Tahoma"/>
                <w:b/>
                <w:szCs w:val="22"/>
              </w:rPr>
            </w:pPr>
          </w:p>
          <w:p w:rsidR="00285AA8" w:rsidRPr="00817C5A" w:rsidRDefault="00285AA8" w:rsidP="00A64392">
            <w:pPr>
              <w:jc w:val="both"/>
              <w:rPr>
                <w:rFonts w:ascii="Tahoma" w:hAnsi="Tahoma"/>
                <w:b/>
                <w:szCs w:val="22"/>
              </w:rPr>
            </w:pPr>
            <w:r w:rsidRPr="00817C5A">
              <w:rPr>
                <w:rFonts w:ascii="Tahoma" w:hAnsi="Tahoma"/>
                <w:b/>
                <w:szCs w:val="22"/>
              </w:rPr>
              <w:t xml:space="preserve">Потрошувачките цени во </w:t>
            </w:r>
            <w:r>
              <w:rPr>
                <w:rFonts w:ascii="Tahoma" w:hAnsi="Tahoma"/>
                <w:b/>
                <w:szCs w:val="22"/>
              </w:rPr>
              <w:t>јули</w:t>
            </w:r>
            <w:r w:rsidRPr="00817C5A">
              <w:rPr>
                <w:rFonts w:ascii="Tahoma" w:hAnsi="Tahoma"/>
                <w:b/>
                <w:szCs w:val="22"/>
              </w:rPr>
              <w:t xml:space="preserve"> 2014 година </w:t>
            </w:r>
            <w:r>
              <w:rPr>
                <w:rFonts w:ascii="Tahoma" w:hAnsi="Tahoma"/>
                <w:b/>
                <w:szCs w:val="22"/>
              </w:rPr>
              <w:t>бележат зголемување од 0,2% на м</w:t>
            </w:r>
            <w:r w:rsidRPr="00817C5A">
              <w:rPr>
                <w:rFonts w:ascii="Tahoma" w:hAnsi="Tahoma"/>
                <w:b/>
                <w:szCs w:val="22"/>
              </w:rPr>
              <w:t>есечна основа...</w:t>
            </w:r>
          </w:p>
          <w:p w:rsidR="00285AA8" w:rsidRPr="00817C5A" w:rsidRDefault="00285AA8" w:rsidP="00A64392">
            <w:pPr>
              <w:jc w:val="both"/>
              <w:rPr>
                <w:rFonts w:ascii="Tahoma" w:hAnsi="Tahoma"/>
                <w:b/>
                <w:szCs w:val="22"/>
              </w:rPr>
            </w:pPr>
          </w:p>
          <w:p w:rsidR="00285AA8" w:rsidRPr="0013535A" w:rsidRDefault="00285AA8" w:rsidP="00A64392">
            <w:pPr>
              <w:jc w:val="both"/>
              <w:rPr>
                <w:rFonts w:ascii="Tahoma" w:hAnsi="Tahoma"/>
                <w:szCs w:val="22"/>
              </w:rPr>
            </w:pPr>
            <w:r w:rsidRPr="0013535A">
              <w:rPr>
                <w:rFonts w:ascii="Tahoma" w:hAnsi="Tahoma"/>
                <w:szCs w:val="22"/>
              </w:rPr>
              <w:t xml:space="preserve">...што во најголем дел се објаснува со повисоките цени на електричната енергија (заради поскапувањето на струјата за домаќинствата) и на </w:t>
            </w:r>
            <w:r w:rsidR="00FF0635">
              <w:rPr>
                <w:rFonts w:ascii="Tahoma" w:hAnsi="Tahoma"/>
                <w:szCs w:val="22"/>
              </w:rPr>
              <w:t>цигарите</w:t>
            </w:r>
            <w:r w:rsidR="00FF0635" w:rsidRPr="0013535A">
              <w:rPr>
                <w:rFonts w:ascii="Tahoma" w:hAnsi="Tahoma"/>
                <w:szCs w:val="22"/>
              </w:rPr>
              <w:t xml:space="preserve"> </w:t>
            </w:r>
            <w:r w:rsidRPr="0013535A">
              <w:rPr>
                <w:rFonts w:ascii="Tahoma" w:hAnsi="Tahoma"/>
                <w:szCs w:val="22"/>
              </w:rPr>
              <w:t>(заради нагорната корекција на акциз</w:t>
            </w:r>
            <w:r w:rsidR="00FF0635">
              <w:rPr>
                <w:rFonts w:ascii="Tahoma" w:hAnsi="Tahoma"/>
                <w:szCs w:val="22"/>
              </w:rPr>
              <w:t>ите</w:t>
            </w:r>
            <w:r w:rsidRPr="0013535A">
              <w:rPr>
                <w:rFonts w:ascii="Tahoma" w:hAnsi="Tahoma"/>
                <w:szCs w:val="22"/>
              </w:rPr>
              <w:t>), како и со цените на течните горива</w:t>
            </w:r>
            <w:r w:rsidRPr="0013535A">
              <w:rPr>
                <w:rStyle w:val="FootnoteReference"/>
                <w:rFonts w:ascii="Tahoma" w:hAnsi="Tahoma"/>
                <w:szCs w:val="22"/>
              </w:rPr>
              <w:footnoteReference w:id="5"/>
            </w:r>
            <w:r w:rsidRPr="0013535A">
              <w:rPr>
                <w:rFonts w:ascii="Tahoma" w:hAnsi="Tahoma"/>
                <w:szCs w:val="22"/>
              </w:rPr>
              <w:t>.</w:t>
            </w:r>
          </w:p>
          <w:p w:rsidR="00285AA8" w:rsidRPr="00A415B5" w:rsidRDefault="00285AA8" w:rsidP="00A64392">
            <w:pPr>
              <w:jc w:val="both"/>
              <w:rPr>
                <w:rFonts w:ascii="Tahoma" w:hAnsi="Tahoma"/>
                <w:b/>
                <w:szCs w:val="22"/>
              </w:rPr>
            </w:pPr>
          </w:p>
          <w:p w:rsidR="00285AA8" w:rsidRPr="00A415B5" w:rsidRDefault="00285AA8" w:rsidP="00A64392">
            <w:pPr>
              <w:jc w:val="both"/>
              <w:rPr>
                <w:rFonts w:ascii="Tahoma" w:hAnsi="Tahoma"/>
                <w:b/>
                <w:szCs w:val="22"/>
              </w:rPr>
            </w:pPr>
          </w:p>
          <w:p w:rsidR="00285AA8" w:rsidRPr="00817C5A" w:rsidRDefault="00285AA8" w:rsidP="00A64392">
            <w:pPr>
              <w:jc w:val="both"/>
              <w:rPr>
                <w:rFonts w:ascii="Tahoma" w:hAnsi="Tahoma"/>
                <w:szCs w:val="22"/>
              </w:rPr>
            </w:pPr>
            <w:r w:rsidRPr="00A415B5">
              <w:rPr>
                <w:rFonts w:ascii="Tahoma" w:hAnsi="Tahoma"/>
                <w:szCs w:val="22"/>
              </w:rPr>
              <w:t xml:space="preserve">Од друга страна, позначителен месечен пад беше регистриран кај цените на зеленчукот. </w:t>
            </w:r>
          </w:p>
          <w:p w:rsidR="00285AA8" w:rsidRPr="00817C5A" w:rsidRDefault="00285AA8" w:rsidP="00A64392">
            <w:pPr>
              <w:jc w:val="both"/>
              <w:rPr>
                <w:rFonts w:ascii="Tahoma" w:hAnsi="Tahoma"/>
                <w:szCs w:val="22"/>
              </w:rPr>
            </w:pPr>
          </w:p>
        </w:tc>
      </w:tr>
      <w:tr w:rsidR="00285AA8" w:rsidRPr="00B0241C" w:rsidTr="00A57112">
        <w:trPr>
          <w:trHeight w:val="702"/>
        </w:trPr>
        <w:tc>
          <w:tcPr>
            <w:tcW w:w="6268" w:type="dxa"/>
            <w:vAlign w:val="center"/>
          </w:tcPr>
          <w:p w:rsidR="004B5747" w:rsidRDefault="004B5747" w:rsidP="00A57112">
            <w:pPr>
              <w:jc w:val="center"/>
              <w:rPr>
                <w:rFonts w:ascii="Tahoma" w:hAnsi="Tahoma"/>
                <w:noProof/>
                <w:sz w:val="18"/>
                <w:szCs w:val="18"/>
              </w:rPr>
            </w:pPr>
          </w:p>
          <w:p w:rsidR="00007100" w:rsidRDefault="00D61982" w:rsidP="00A57112">
            <w:pPr>
              <w:jc w:val="center"/>
            </w:pPr>
            <w:r w:rsidRPr="00A57112">
              <w:rPr>
                <w:rFonts w:ascii="Tahoma" w:hAnsi="Tahoma"/>
                <w:noProof/>
                <w:sz w:val="18"/>
                <w:szCs w:val="18"/>
                <w:lang w:val="en-US"/>
              </w:rPr>
              <w:drawing>
                <wp:inline distT="0" distB="0" distL="0" distR="0">
                  <wp:extent cx="3682364" cy="24092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2486" cy="2409325"/>
                          </a:xfrm>
                          <a:prstGeom prst="rect">
                            <a:avLst/>
                          </a:prstGeom>
                          <a:noFill/>
                          <a:ln>
                            <a:noFill/>
                          </a:ln>
                        </pic:spPr>
                      </pic:pic>
                    </a:graphicData>
                  </a:graphic>
                </wp:inline>
              </w:drawing>
            </w:r>
          </w:p>
          <w:p w:rsidR="00007100" w:rsidRDefault="00007100" w:rsidP="00A57112">
            <w:pPr>
              <w:jc w:val="center"/>
            </w:pPr>
          </w:p>
        </w:tc>
        <w:tc>
          <w:tcPr>
            <w:tcW w:w="4472" w:type="dxa"/>
            <w:vAlign w:val="center"/>
          </w:tcPr>
          <w:p w:rsidR="00285AA8" w:rsidRPr="00C231F0" w:rsidRDefault="00285AA8" w:rsidP="00A64392">
            <w:pPr>
              <w:jc w:val="both"/>
              <w:rPr>
                <w:rFonts w:ascii="Tahoma" w:hAnsi="Tahoma"/>
                <w:b/>
                <w:szCs w:val="22"/>
              </w:rPr>
            </w:pPr>
            <w:r>
              <w:rPr>
                <w:rFonts w:ascii="Tahoma" w:hAnsi="Tahoma"/>
                <w:b/>
                <w:szCs w:val="22"/>
              </w:rPr>
              <w:t>Годишната стапка на инфлација во јули беше позитивна и изнесуваше  0,3%</w:t>
            </w:r>
            <w:r w:rsidRPr="00C231F0">
              <w:rPr>
                <w:rFonts w:ascii="Tahoma" w:hAnsi="Tahoma"/>
                <w:b/>
                <w:szCs w:val="22"/>
              </w:rPr>
              <w:t>...</w:t>
            </w:r>
          </w:p>
          <w:p w:rsidR="00285AA8" w:rsidRPr="00C231F0" w:rsidRDefault="00285AA8" w:rsidP="00A64392">
            <w:pPr>
              <w:jc w:val="both"/>
              <w:rPr>
                <w:rFonts w:ascii="Tahoma" w:hAnsi="Tahoma"/>
                <w:b/>
                <w:szCs w:val="22"/>
              </w:rPr>
            </w:pPr>
          </w:p>
          <w:p w:rsidR="00285AA8" w:rsidRPr="0013535A" w:rsidRDefault="00285AA8" w:rsidP="00A64392">
            <w:pPr>
              <w:jc w:val="both"/>
              <w:rPr>
                <w:rFonts w:ascii="Tahoma" w:hAnsi="Tahoma"/>
                <w:szCs w:val="22"/>
              </w:rPr>
            </w:pPr>
            <w:r w:rsidRPr="0013535A">
              <w:rPr>
                <w:rFonts w:ascii="Tahoma" w:hAnsi="Tahoma"/>
                <w:szCs w:val="22"/>
              </w:rPr>
              <w:t>...што претставува послабо остварување на инфлацијата од очекуваното со априлскиот циклус на проекции...</w:t>
            </w:r>
          </w:p>
          <w:p w:rsidR="00285AA8" w:rsidRPr="00C231F0" w:rsidRDefault="00285AA8" w:rsidP="00A64392">
            <w:pPr>
              <w:jc w:val="both"/>
              <w:rPr>
                <w:rFonts w:ascii="Tahoma" w:hAnsi="Tahoma"/>
                <w:b/>
                <w:szCs w:val="22"/>
              </w:rPr>
            </w:pPr>
          </w:p>
          <w:p w:rsidR="00285AA8" w:rsidRPr="00817C5A" w:rsidRDefault="00285AA8" w:rsidP="00A64392">
            <w:pPr>
              <w:jc w:val="both"/>
              <w:rPr>
                <w:rFonts w:ascii="Tahoma" w:hAnsi="Tahoma"/>
                <w:szCs w:val="22"/>
              </w:rPr>
            </w:pPr>
            <w:r w:rsidRPr="00C231F0">
              <w:rPr>
                <w:rFonts w:ascii="Tahoma" w:hAnsi="Tahoma"/>
                <w:szCs w:val="22"/>
              </w:rPr>
              <w:t xml:space="preserve">...при поголемо надолно отстапување на остварената од проектираната инфлација кај  </w:t>
            </w:r>
            <w:r>
              <w:rPr>
                <w:rFonts w:ascii="Tahoma" w:hAnsi="Tahoma"/>
                <w:szCs w:val="22"/>
              </w:rPr>
              <w:t xml:space="preserve">базичната инфлација и кај </w:t>
            </w:r>
            <w:r w:rsidRPr="00C231F0">
              <w:rPr>
                <w:rFonts w:ascii="Tahoma" w:hAnsi="Tahoma"/>
                <w:szCs w:val="22"/>
              </w:rPr>
              <w:t>прехранбената</w:t>
            </w:r>
            <w:r>
              <w:rPr>
                <w:rFonts w:ascii="Tahoma" w:hAnsi="Tahoma"/>
                <w:szCs w:val="22"/>
              </w:rPr>
              <w:t xml:space="preserve"> компонента, додека движењата кај енергетската компонента </w:t>
            </w:r>
            <w:r w:rsidR="007540A5">
              <w:rPr>
                <w:rFonts w:ascii="Tahoma" w:hAnsi="Tahoma"/>
                <w:szCs w:val="22"/>
              </w:rPr>
              <w:t xml:space="preserve">соодветствуваат </w:t>
            </w:r>
            <w:r>
              <w:rPr>
                <w:rFonts w:ascii="Tahoma" w:hAnsi="Tahoma"/>
                <w:szCs w:val="22"/>
              </w:rPr>
              <w:t xml:space="preserve">со проекцијата. </w:t>
            </w:r>
          </w:p>
          <w:p w:rsidR="00285AA8" w:rsidRPr="00817C5A" w:rsidRDefault="00285AA8" w:rsidP="00A64392">
            <w:pPr>
              <w:jc w:val="center"/>
              <w:rPr>
                <w:rFonts w:ascii="Tahoma" w:hAnsi="Tahoma"/>
                <w:szCs w:val="22"/>
              </w:rPr>
            </w:pPr>
          </w:p>
        </w:tc>
      </w:tr>
      <w:tr w:rsidR="00285AA8" w:rsidRPr="00B0241C" w:rsidTr="00A57112">
        <w:trPr>
          <w:trHeight w:val="702"/>
        </w:trPr>
        <w:tc>
          <w:tcPr>
            <w:tcW w:w="6268" w:type="dxa"/>
            <w:vAlign w:val="center"/>
          </w:tcPr>
          <w:p w:rsidR="00007100" w:rsidRDefault="00D61982" w:rsidP="00A57112">
            <w:pPr>
              <w:jc w:val="center"/>
              <w:rPr>
                <w:rFonts w:ascii="Tahoma" w:hAnsi="Tahoma"/>
                <w:sz w:val="18"/>
                <w:szCs w:val="18"/>
                <w:highlight w:val="yellow"/>
              </w:rPr>
            </w:pPr>
            <w:r w:rsidRPr="00A57112">
              <w:rPr>
                <w:rFonts w:ascii="Tahoma" w:hAnsi="Tahoma"/>
                <w:noProof/>
                <w:sz w:val="18"/>
                <w:szCs w:val="18"/>
                <w:lang w:val="en-US"/>
              </w:rPr>
              <w:lastRenderedPageBreak/>
              <w:drawing>
                <wp:anchor distT="0" distB="0" distL="114300" distR="114300" simplePos="0" relativeHeight="251658240" behindDoc="0" locked="0" layoutInCell="1" allowOverlap="1">
                  <wp:simplePos x="0" y="0"/>
                  <wp:positionH relativeFrom="column">
                    <wp:posOffset>86360</wp:posOffset>
                  </wp:positionH>
                  <wp:positionV relativeFrom="paragraph">
                    <wp:posOffset>71755</wp:posOffset>
                  </wp:positionV>
                  <wp:extent cx="3676650" cy="25908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650" cy="2590800"/>
                          </a:xfrm>
                          <a:prstGeom prst="rect">
                            <a:avLst/>
                          </a:prstGeom>
                          <a:noFill/>
                          <a:ln>
                            <a:noFill/>
                          </a:ln>
                        </pic:spPr>
                      </pic:pic>
                    </a:graphicData>
                  </a:graphic>
                </wp:anchor>
              </w:drawing>
            </w:r>
          </w:p>
        </w:tc>
        <w:tc>
          <w:tcPr>
            <w:tcW w:w="4472" w:type="dxa"/>
            <w:vAlign w:val="center"/>
          </w:tcPr>
          <w:p w:rsidR="004B5747" w:rsidRDefault="004B5747" w:rsidP="00285AA8">
            <w:pPr>
              <w:jc w:val="both"/>
              <w:rPr>
                <w:rFonts w:ascii="Tahoma" w:hAnsi="Tahoma"/>
                <w:szCs w:val="22"/>
              </w:rPr>
            </w:pPr>
          </w:p>
          <w:p w:rsidR="00285AA8" w:rsidRPr="00D417D6" w:rsidRDefault="00285AA8" w:rsidP="00285AA8">
            <w:pPr>
              <w:jc w:val="both"/>
              <w:rPr>
                <w:rFonts w:ascii="Tahoma" w:hAnsi="Tahoma"/>
                <w:szCs w:val="22"/>
              </w:rPr>
            </w:pPr>
            <w:r w:rsidRPr="00246BC6">
              <w:rPr>
                <w:rFonts w:ascii="Tahoma" w:hAnsi="Tahoma"/>
                <w:szCs w:val="22"/>
              </w:rPr>
              <w:t xml:space="preserve">Во јули е регистрирана позитивна </w:t>
            </w:r>
            <w:r>
              <w:rPr>
                <w:rFonts w:ascii="Tahoma" w:hAnsi="Tahoma"/>
                <w:b/>
                <w:szCs w:val="22"/>
              </w:rPr>
              <w:t xml:space="preserve">месечна </w:t>
            </w:r>
            <w:r w:rsidRPr="00D417D6">
              <w:rPr>
                <w:rFonts w:ascii="Tahoma" w:hAnsi="Tahoma"/>
                <w:b/>
                <w:szCs w:val="22"/>
              </w:rPr>
              <w:t>стапка на базичната инфлација</w:t>
            </w:r>
            <w:r w:rsidRPr="00246BC6">
              <w:rPr>
                <w:rFonts w:ascii="Tahoma" w:hAnsi="Tahoma"/>
                <w:szCs w:val="22"/>
              </w:rPr>
              <w:t xml:space="preserve"> од 0,4% (наспроти јуни кога базичнат</w:t>
            </w:r>
            <w:r>
              <w:rPr>
                <w:rFonts w:ascii="Tahoma" w:hAnsi="Tahoma"/>
                <w:szCs w:val="22"/>
              </w:rPr>
              <w:t xml:space="preserve">а инфлација беше непроменета) што во </w:t>
            </w:r>
            <w:r w:rsidRPr="00D417D6">
              <w:rPr>
                <w:rFonts w:ascii="Tahoma" w:hAnsi="Tahoma"/>
                <w:szCs w:val="22"/>
              </w:rPr>
              <w:t>најголем дел произлегува од повисоките цени на тутунот.</w:t>
            </w:r>
          </w:p>
          <w:p w:rsidR="00285AA8" w:rsidRDefault="00285AA8" w:rsidP="00285AA8">
            <w:pPr>
              <w:jc w:val="both"/>
              <w:rPr>
                <w:rFonts w:ascii="Tahoma" w:hAnsi="Tahoma"/>
                <w:szCs w:val="22"/>
                <w:highlight w:val="yellow"/>
              </w:rPr>
            </w:pPr>
          </w:p>
          <w:p w:rsidR="00285AA8" w:rsidRPr="004C11D3" w:rsidRDefault="00285AA8" w:rsidP="00285AA8">
            <w:pPr>
              <w:jc w:val="both"/>
              <w:rPr>
                <w:rFonts w:ascii="Tahoma" w:hAnsi="Tahoma"/>
                <w:szCs w:val="22"/>
              </w:rPr>
            </w:pPr>
            <w:r w:rsidRPr="00D057DB">
              <w:rPr>
                <w:rFonts w:ascii="Tahoma" w:hAnsi="Tahoma"/>
                <w:szCs w:val="22"/>
              </w:rPr>
              <w:t>П</w:t>
            </w:r>
            <w:r w:rsidRPr="004C11D3">
              <w:rPr>
                <w:rFonts w:ascii="Tahoma" w:hAnsi="Tahoma"/>
                <w:szCs w:val="22"/>
              </w:rPr>
              <w:t>озитивниот п</w:t>
            </w:r>
            <w:r w:rsidRPr="00D057DB">
              <w:rPr>
                <w:rFonts w:ascii="Tahoma" w:hAnsi="Tahoma"/>
                <w:szCs w:val="22"/>
              </w:rPr>
              <w:t xml:space="preserve">ридонес на останатите категории е значително понизок при што </w:t>
            </w:r>
            <w:proofErr w:type="spellStart"/>
            <w:r w:rsidRPr="004C11D3">
              <w:rPr>
                <w:rFonts w:ascii="Tahoma" w:hAnsi="Tahoma"/>
                <w:szCs w:val="22"/>
                <w:lang w:val="en-US"/>
              </w:rPr>
              <w:t>забрзување</w:t>
            </w:r>
            <w:proofErr w:type="spellEnd"/>
            <w:r w:rsidRPr="004C11D3">
              <w:rPr>
                <w:rFonts w:ascii="Tahoma" w:hAnsi="Tahoma"/>
                <w:szCs w:val="22"/>
                <w:lang w:val="en-US"/>
              </w:rPr>
              <w:t xml:space="preserve"> </w:t>
            </w:r>
            <w:proofErr w:type="spellStart"/>
            <w:r w:rsidRPr="004C11D3">
              <w:rPr>
                <w:rFonts w:ascii="Tahoma" w:hAnsi="Tahoma"/>
                <w:szCs w:val="22"/>
                <w:lang w:val="en-US"/>
              </w:rPr>
              <w:t>на</w:t>
            </w:r>
            <w:proofErr w:type="spellEnd"/>
            <w:r w:rsidRPr="004C11D3">
              <w:rPr>
                <w:rFonts w:ascii="Tahoma" w:hAnsi="Tahoma"/>
                <w:szCs w:val="22"/>
                <w:lang w:val="en-US"/>
              </w:rPr>
              <w:t xml:space="preserve"> </w:t>
            </w:r>
            <w:proofErr w:type="spellStart"/>
            <w:r w:rsidRPr="004C11D3">
              <w:rPr>
                <w:rFonts w:ascii="Tahoma" w:hAnsi="Tahoma"/>
                <w:szCs w:val="22"/>
                <w:lang w:val="en-US"/>
              </w:rPr>
              <w:t>растот</w:t>
            </w:r>
            <w:proofErr w:type="spellEnd"/>
            <w:r w:rsidRPr="004C11D3">
              <w:rPr>
                <w:rFonts w:ascii="Tahoma" w:hAnsi="Tahoma"/>
                <w:szCs w:val="22"/>
                <w:lang w:val="en-US"/>
              </w:rPr>
              <w:t xml:space="preserve"> </w:t>
            </w:r>
            <w:proofErr w:type="spellStart"/>
            <w:r w:rsidRPr="004C11D3">
              <w:rPr>
                <w:rFonts w:ascii="Tahoma" w:hAnsi="Tahoma"/>
                <w:szCs w:val="22"/>
                <w:lang w:val="en-US"/>
              </w:rPr>
              <w:t>беше</w:t>
            </w:r>
            <w:proofErr w:type="spellEnd"/>
            <w:r w:rsidRPr="004C11D3">
              <w:rPr>
                <w:rFonts w:ascii="Tahoma" w:hAnsi="Tahoma"/>
                <w:szCs w:val="22"/>
                <w:lang w:val="en-US"/>
              </w:rPr>
              <w:t xml:space="preserve"> </w:t>
            </w:r>
            <w:proofErr w:type="spellStart"/>
            <w:r w:rsidRPr="004C11D3">
              <w:rPr>
                <w:rFonts w:ascii="Tahoma" w:hAnsi="Tahoma"/>
                <w:szCs w:val="22"/>
                <w:lang w:val="en-US"/>
              </w:rPr>
              <w:t>регистриран</w:t>
            </w:r>
            <w:proofErr w:type="spellEnd"/>
            <w:r w:rsidRPr="004C11D3">
              <w:rPr>
                <w:rFonts w:ascii="Tahoma" w:hAnsi="Tahoma"/>
                <w:szCs w:val="22"/>
                <w:lang w:val="en-US"/>
              </w:rPr>
              <w:t xml:space="preserve"> </w:t>
            </w:r>
            <w:proofErr w:type="spellStart"/>
            <w:r w:rsidRPr="004C11D3">
              <w:rPr>
                <w:rFonts w:ascii="Tahoma" w:hAnsi="Tahoma"/>
                <w:szCs w:val="22"/>
                <w:lang w:val="en-US"/>
              </w:rPr>
              <w:t>кај</w:t>
            </w:r>
            <w:proofErr w:type="spellEnd"/>
            <w:r w:rsidRPr="004C11D3">
              <w:rPr>
                <w:rFonts w:ascii="Tahoma" w:hAnsi="Tahoma"/>
                <w:szCs w:val="22"/>
              </w:rPr>
              <w:t xml:space="preserve"> категориите </w:t>
            </w:r>
            <w:r w:rsidR="0022046E">
              <w:rPr>
                <w:rFonts w:ascii="Tahoma" w:hAnsi="Tahoma"/>
                <w:szCs w:val="22"/>
              </w:rPr>
              <w:t>„</w:t>
            </w:r>
            <w:r w:rsidRPr="004C11D3">
              <w:rPr>
                <w:rFonts w:ascii="Tahoma" w:hAnsi="Tahoma"/>
                <w:szCs w:val="22"/>
              </w:rPr>
              <w:t>транспорт</w:t>
            </w:r>
            <w:r w:rsidR="0022046E">
              <w:rPr>
                <w:rFonts w:ascii="Tahoma" w:hAnsi="Tahoma"/>
                <w:szCs w:val="22"/>
              </w:rPr>
              <w:t>“</w:t>
            </w:r>
            <w:r w:rsidRPr="004C11D3">
              <w:rPr>
                <w:rFonts w:ascii="Tahoma" w:hAnsi="Tahoma"/>
                <w:szCs w:val="22"/>
              </w:rPr>
              <w:t xml:space="preserve"> и</w:t>
            </w:r>
            <w:r w:rsidRPr="00D057DB">
              <w:rPr>
                <w:rFonts w:ascii="Tahoma" w:hAnsi="Tahoma"/>
                <w:szCs w:val="22"/>
              </w:rPr>
              <w:t xml:space="preserve"> </w:t>
            </w:r>
            <w:r w:rsidR="0022046E">
              <w:rPr>
                <w:rFonts w:ascii="Tahoma" w:hAnsi="Tahoma"/>
                <w:szCs w:val="22"/>
              </w:rPr>
              <w:t>„</w:t>
            </w:r>
            <w:r w:rsidRPr="00D057DB">
              <w:rPr>
                <w:rFonts w:ascii="Tahoma" w:hAnsi="Tahoma"/>
                <w:szCs w:val="22"/>
              </w:rPr>
              <w:t>ресторани и хотели</w:t>
            </w:r>
            <w:r w:rsidR="0022046E">
              <w:rPr>
                <w:rFonts w:ascii="Tahoma" w:hAnsi="Tahoma"/>
                <w:szCs w:val="22"/>
              </w:rPr>
              <w:t>“</w:t>
            </w:r>
            <w:r w:rsidRPr="004C11D3">
              <w:rPr>
                <w:rFonts w:ascii="Tahoma" w:hAnsi="Tahoma"/>
                <w:szCs w:val="22"/>
              </w:rPr>
              <w:t>...</w:t>
            </w:r>
            <w:r w:rsidRPr="004C11D3" w:rsidDel="00D057DB">
              <w:rPr>
                <w:rFonts w:ascii="Tahoma" w:hAnsi="Tahoma"/>
                <w:szCs w:val="22"/>
              </w:rPr>
              <w:t xml:space="preserve"> </w:t>
            </w:r>
          </w:p>
          <w:p w:rsidR="00285AA8" w:rsidRPr="00A65AFD" w:rsidRDefault="00285AA8" w:rsidP="00285AA8">
            <w:pPr>
              <w:jc w:val="both"/>
              <w:rPr>
                <w:rFonts w:ascii="Tahoma" w:hAnsi="Tahoma"/>
                <w:szCs w:val="22"/>
                <w:highlight w:val="yellow"/>
              </w:rPr>
            </w:pPr>
          </w:p>
          <w:p w:rsidR="00285AA8" w:rsidRDefault="00285AA8" w:rsidP="00285AA8">
            <w:pPr>
              <w:jc w:val="both"/>
              <w:rPr>
                <w:rFonts w:ascii="Tahoma" w:hAnsi="Tahoma"/>
                <w:szCs w:val="22"/>
              </w:rPr>
            </w:pPr>
            <w:r w:rsidRPr="0010294C">
              <w:rPr>
                <w:rFonts w:ascii="Tahoma" w:hAnsi="Tahoma"/>
                <w:szCs w:val="22"/>
              </w:rPr>
              <w:t xml:space="preserve">...додека кај </w:t>
            </w:r>
            <w:r>
              <w:rPr>
                <w:rFonts w:ascii="Tahoma" w:hAnsi="Tahoma"/>
                <w:szCs w:val="22"/>
              </w:rPr>
              <w:t xml:space="preserve">безалкохолните пијалаци, </w:t>
            </w:r>
            <w:r w:rsidRPr="0010294C">
              <w:rPr>
                <w:rFonts w:ascii="Tahoma" w:hAnsi="Tahoma"/>
                <w:szCs w:val="22"/>
              </w:rPr>
              <w:t xml:space="preserve">облеката и обувките и </w:t>
            </w:r>
            <w:r w:rsidRPr="004C11D3">
              <w:rPr>
                <w:rFonts w:ascii="Tahoma" w:hAnsi="Tahoma"/>
                <w:szCs w:val="22"/>
              </w:rPr>
              <w:t xml:space="preserve">нетрајните производи за одржување на стан </w:t>
            </w:r>
            <w:r w:rsidRPr="0010294C">
              <w:rPr>
                <w:rFonts w:ascii="Tahoma" w:hAnsi="Tahoma"/>
                <w:szCs w:val="22"/>
              </w:rPr>
              <w:t>е забележан пад на цените на месечна основа.</w:t>
            </w:r>
            <w:r w:rsidRPr="00D417D6">
              <w:rPr>
                <w:rFonts w:ascii="Tahoma" w:hAnsi="Tahoma"/>
                <w:szCs w:val="22"/>
              </w:rPr>
              <w:t xml:space="preserve"> </w:t>
            </w:r>
          </w:p>
          <w:p w:rsidR="00285AA8" w:rsidRPr="00C231F0" w:rsidRDefault="00285AA8" w:rsidP="00285AA8">
            <w:pPr>
              <w:jc w:val="both"/>
              <w:rPr>
                <w:rFonts w:ascii="Tahoma" w:hAnsi="Tahoma"/>
                <w:szCs w:val="22"/>
              </w:rPr>
            </w:pPr>
          </w:p>
          <w:p w:rsidR="00285AA8" w:rsidRPr="00C231F0" w:rsidRDefault="00285AA8" w:rsidP="00285AA8">
            <w:pPr>
              <w:jc w:val="both"/>
              <w:rPr>
                <w:rFonts w:ascii="Tahoma" w:hAnsi="Tahoma"/>
                <w:szCs w:val="22"/>
              </w:rPr>
            </w:pPr>
            <w:r>
              <w:rPr>
                <w:rFonts w:ascii="Tahoma" w:hAnsi="Tahoma"/>
                <w:szCs w:val="22"/>
              </w:rPr>
              <w:t>Годишната стапка на базична инфлација е непроменета, односно</w:t>
            </w:r>
            <w:r>
              <w:rPr>
                <w:rFonts w:ascii="Tahoma" w:hAnsi="Tahoma"/>
                <w:szCs w:val="22"/>
                <w:lang w:val="en-GB"/>
              </w:rPr>
              <w:t xml:space="preserve"> </w:t>
            </w:r>
            <w:r>
              <w:rPr>
                <w:rFonts w:ascii="Tahoma" w:hAnsi="Tahoma"/>
                <w:szCs w:val="22"/>
              </w:rPr>
              <w:t>трет последователен месец изнесува 0,7%.</w:t>
            </w:r>
          </w:p>
          <w:p w:rsidR="00285AA8" w:rsidRPr="00333C39" w:rsidRDefault="00285AA8" w:rsidP="00333C39">
            <w:pPr>
              <w:ind w:left="34" w:right="34"/>
              <w:jc w:val="both"/>
              <w:rPr>
                <w:rFonts w:ascii="Tahoma" w:hAnsi="Tahoma"/>
                <w:szCs w:val="22"/>
              </w:rPr>
            </w:pPr>
          </w:p>
        </w:tc>
      </w:tr>
      <w:tr w:rsidR="00285AA8" w:rsidRPr="00B0241C" w:rsidTr="004B5747">
        <w:trPr>
          <w:trHeight w:val="702"/>
        </w:trPr>
        <w:tc>
          <w:tcPr>
            <w:tcW w:w="6268" w:type="dxa"/>
            <w:vAlign w:val="center"/>
          </w:tcPr>
          <w:p w:rsidR="00007100" w:rsidRDefault="00007100" w:rsidP="004B5747">
            <w:pPr>
              <w:jc w:val="center"/>
              <w:rPr>
                <w:rFonts w:ascii="Tahoma" w:hAnsi="Tahoma"/>
                <w:sz w:val="18"/>
                <w:szCs w:val="18"/>
                <w:lang w:val="en-US"/>
              </w:rPr>
            </w:pPr>
          </w:p>
          <w:p w:rsidR="00007100" w:rsidRDefault="00D61982" w:rsidP="004B5747">
            <w:pPr>
              <w:jc w:val="center"/>
              <w:rPr>
                <w:rFonts w:ascii="Tahoma" w:hAnsi="Tahoma"/>
                <w:sz w:val="18"/>
                <w:szCs w:val="18"/>
              </w:rPr>
            </w:pPr>
            <w:r w:rsidRPr="00A57112">
              <w:rPr>
                <w:rFonts w:ascii="Tahoma" w:hAnsi="Tahoma"/>
                <w:noProof/>
                <w:sz w:val="18"/>
                <w:szCs w:val="18"/>
                <w:lang w:val="en-US"/>
              </w:rPr>
              <w:drawing>
                <wp:anchor distT="0" distB="0" distL="114300" distR="114300" simplePos="0" relativeHeight="251659264" behindDoc="0" locked="0" layoutInCell="1" allowOverlap="1">
                  <wp:simplePos x="0" y="0"/>
                  <wp:positionH relativeFrom="column">
                    <wp:posOffset>142240</wp:posOffset>
                  </wp:positionH>
                  <wp:positionV relativeFrom="paragraph">
                    <wp:posOffset>83185</wp:posOffset>
                  </wp:positionV>
                  <wp:extent cx="3568065" cy="2987675"/>
                  <wp:effectExtent l="0" t="0" r="0" b="317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8065" cy="2987675"/>
                          </a:xfrm>
                          <a:prstGeom prst="rect">
                            <a:avLst/>
                          </a:prstGeom>
                          <a:noFill/>
                          <a:ln>
                            <a:noFill/>
                          </a:ln>
                        </pic:spPr>
                      </pic:pic>
                    </a:graphicData>
                  </a:graphic>
                </wp:anchor>
              </w:drawing>
            </w:r>
          </w:p>
          <w:p w:rsidR="00007100" w:rsidRDefault="00007100" w:rsidP="004B5747">
            <w:pPr>
              <w:jc w:val="center"/>
              <w:rPr>
                <w:rFonts w:ascii="Tahoma" w:hAnsi="Tahoma"/>
                <w:sz w:val="18"/>
                <w:szCs w:val="18"/>
                <w:highlight w:val="yellow"/>
              </w:rPr>
            </w:pPr>
          </w:p>
        </w:tc>
        <w:tc>
          <w:tcPr>
            <w:tcW w:w="4472" w:type="dxa"/>
            <w:vAlign w:val="center"/>
          </w:tcPr>
          <w:p w:rsidR="00FC5FA7" w:rsidRDefault="00FC5FA7" w:rsidP="00285AA8">
            <w:pPr>
              <w:jc w:val="both"/>
              <w:rPr>
                <w:rFonts w:ascii="Tahoma" w:hAnsi="Tahoma"/>
                <w:b/>
                <w:szCs w:val="22"/>
              </w:rPr>
            </w:pPr>
          </w:p>
          <w:p w:rsidR="00285AA8" w:rsidRPr="00C231F0" w:rsidRDefault="00285AA8" w:rsidP="00285AA8">
            <w:pPr>
              <w:jc w:val="both"/>
              <w:rPr>
                <w:rFonts w:ascii="Tahoma" w:hAnsi="Tahoma"/>
                <w:b/>
                <w:szCs w:val="22"/>
              </w:rPr>
            </w:pPr>
            <w:r w:rsidRPr="00C231F0">
              <w:rPr>
                <w:rFonts w:ascii="Tahoma" w:hAnsi="Tahoma"/>
                <w:b/>
                <w:szCs w:val="22"/>
              </w:rPr>
              <w:t>Надворешните влезни претпоставки за 2014 година, коишто влегуваат во проекцијата на инфлацијата</w:t>
            </w:r>
            <w:r w:rsidRPr="00114669">
              <w:rPr>
                <w:rFonts w:ascii="Tahoma" w:hAnsi="Tahoma"/>
                <w:b/>
                <w:szCs w:val="22"/>
              </w:rPr>
              <w:t xml:space="preserve"> </w:t>
            </w:r>
            <w:r w:rsidRPr="00C231F0">
              <w:rPr>
                <w:rFonts w:ascii="Tahoma" w:hAnsi="Tahoma"/>
                <w:b/>
                <w:szCs w:val="22"/>
              </w:rPr>
              <w:t xml:space="preserve">се </w:t>
            </w:r>
            <w:r>
              <w:rPr>
                <w:rFonts w:ascii="Tahoma" w:hAnsi="Tahoma"/>
                <w:b/>
                <w:szCs w:val="22"/>
              </w:rPr>
              <w:t xml:space="preserve">генерално </w:t>
            </w:r>
            <w:r w:rsidRPr="00C231F0">
              <w:rPr>
                <w:rFonts w:ascii="Tahoma" w:hAnsi="Tahoma"/>
                <w:b/>
                <w:szCs w:val="22"/>
              </w:rPr>
              <w:t xml:space="preserve">ревидирани во </w:t>
            </w:r>
            <w:r>
              <w:rPr>
                <w:rFonts w:ascii="Tahoma" w:hAnsi="Tahoma"/>
                <w:b/>
                <w:szCs w:val="22"/>
              </w:rPr>
              <w:t>надолна</w:t>
            </w:r>
            <w:r w:rsidRPr="0013535A">
              <w:rPr>
                <w:rFonts w:ascii="Tahoma" w:hAnsi="Tahoma"/>
                <w:b/>
                <w:szCs w:val="22"/>
              </w:rPr>
              <w:t xml:space="preserve"> насока</w:t>
            </w:r>
            <w:r w:rsidRPr="00C231F0">
              <w:rPr>
                <w:rFonts w:ascii="Tahoma" w:hAnsi="Tahoma"/>
                <w:b/>
                <w:szCs w:val="22"/>
              </w:rPr>
              <w:t xml:space="preserve">. </w:t>
            </w:r>
          </w:p>
          <w:p w:rsidR="00285AA8" w:rsidRPr="00C231F0" w:rsidRDefault="00285AA8" w:rsidP="00285AA8">
            <w:pPr>
              <w:jc w:val="both"/>
              <w:rPr>
                <w:rFonts w:ascii="Tahoma" w:hAnsi="Tahoma"/>
                <w:b/>
                <w:szCs w:val="22"/>
              </w:rPr>
            </w:pPr>
          </w:p>
          <w:p w:rsidR="00285AA8" w:rsidRDefault="00285AA8" w:rsidP="00285AA8">
            <w:pPr>
              <w:jc w:val="both"/>
              <w:rPr>
                <w:rFonts w:ascii="Tahoma" w:hAnsi="Tahoma"/>
                <w:szCs w:val="22"/>
              </w:rPr>
            </w:pPr>
            <w:r w:rsidRPr="00D417D6">
              <w:rPr>
                <w:rFonts w:ascii="Tahoma" w:hAnsi="Tahoma"/>
                <w:szCs w:val="22"/>
              </w:rPr>
              <w:t>Така, најновите оценки за цените на меѓународно тргуваните примарни прехранбени производи упатуваат на надолни корекции на цените на житарките во 2014 година, споредено со сигналите добиени во текот на априлскиот циклус на проекции</w:t>
            </w:r>
            <w:r>
              <w:rPr>
                <w:rFonts w:ascii="Tahoma" w:hAnsi="Tahoma"/>
                <w:szCs w:val="22"/>
              </w:rPr>
              <w:t>, и ги о</w:t>
            </w:r>
            <w:r w:rsidRPr="00993B8B">
              <w:rPr>
                <w:rFonts w:ascii="Tahoma" w:hAnsi="Tahoma"/>
                <w:szCs w:val="22"/>
              </w:rPr>
              <w:t>дразува</w:t>
            </w:r>
            <w:r>
              <w:rPr>
                <w:rFonts w:ascii="Tahoma" w:hAnsi="Tahoma"/>
                <w:szCs w:val="22"/>
              </w:rPr>
              <w:t xml:space="preserve">ат </w:t>
            </w:r>
            <w:r w:rsidRPr="00993B8B">
              <w:rPr>
                <w:rFonts w:ascii="Tahoma" w:hAnsi="Tahoma"/>
                <w:szCs w:val="22"/>
              </w:rPr>
              <w:t>порастот на</w:t>
            </w:r>
            <w:r>
              <w:rPr>
                <w:rFonts w:ascii="Tahoma" w:hAnsi="Tahoma"/>
                <w:szCs w:val="22"/>
              </w:rPr>
              <w:t xml:space="preserve"> приносите и  </w:t>
            </w:r>
            <w:proofErr w:type="spellStart"/>
            <w:r>
              <w:rPr>
                <w:rFonts w:ascii="Tahoma" w:hAnsi="Tahoma"/>
                <w:szCs w:val="22"/>
              </w:rPr>
              <w:t>залихите</w:t>
            </w:r>
            <w:proofErr w:type="spellEnd"/>
            <w:r>
              <w:rPr>
                <w:rFonts w:ascii="Tahoma" w:hAnsi="Tahoma"/>
                <w:szCs w:val="22"/>
              </w:rPr>
              <w:t xml:space="preserve"> од претходната година.</w:t>
            </w:r>
          </w:p>
          <w:p w:rsidR="00285AA8" w:rsidRDefault="00285AA8" w:rsidP="00285AA8">
            <w:pPr>
              <w:jc w:val="both"/>
              <w:rPr>
                <w:rFonts w:ascii="Tahoma" w:hAnsi="Tahoma"/>
                <w:szCs w:val="22"/>
              </w:rPr>
            </w:pPr>
          </w:p>
          <w:p w:rsidR="00285AA8" w:rsidRDefault="0022046E" w:rsidP="00285AA8">
            <w:pPr>
              <w:jc w:val="both"/>
              <w:rPr>
                <w:rFonts w:ascii="Tahoma" w:hAnsi="Tahoma"/>
                <w:szCs w:val="22"/>
              </w:rPr>
            </w:pPr>
            <w:r>
              <w:rPr>
                <w:rFonts w:ascii="Tahoma" w:hAnsi="Tahoma"/>
                <w:szCs w:val="22"/>
              </w:rPr>
              <w:t>Надолна р</w:t>
            </w:r>
            <w:r w:rsidR="00285AA8">
              <w:rPr>
                <w:rFonts w:ascii="Tahoma" w:hAnsi="Tahoma"/>
                <w:szCs w:val="22"/>
              </w:rPr>
              <w:t xml:space="preserve">евизија е направена и кај проекцијата на </w:t>
            </w:r>
            <w:r w:rsidR="00285AA8" w:rsidRPr="002B059C">
              <w:rPr>
                <w:rFonts w:ascii="Tahoma" w:hAnsi="Tahoma"/>
                <w:szCs w:val="22"/>
              </w:rPr>
              <w:t>странската ефективна инфлација до крајот на  тековната година</w:t>
            </w:r>
            <w:r w:rsidR="00285AA8">
              <w:rPr>
                <w:rFonts w:ascii="Tahoma" w:hAnsi="Tahoma"/>
                <w:szCs w:val="22"/>
              </w:rPr>
              <w:t>.</w:t>
            </w:r>
            <w:r w:rsidR="00285AA8" w:rsidRPr="002B059C">
              <w:rPr>
                <w:rFonts w:ascii="Tahoma" w:hAnsi="Tahoma"/>
                <w:szCs w:val="22"/>
              </w:rPr>
              <w:t xml:space="preserve"> </w:t>
            </w:r>
          </w:p>
          <w:p w:rsidR="00285AA8" w:rsidRPr="00D417D6" w:rsidRDefault="00285AA8" w:rsidP="00285AA8">
            <w:pPr>
              <w:jc w:val="both"/>
              <w:rPr>
                <w:rFonts w:ascii="Tahoma" w:hAnsi="Tahoma"/>
                <w:b/>
                <w:szCs w:val="22"/>
                <w:highlight w:val="yellow"/>
              </w:rPr>
            </w:pPr>
          </w:p>
          <w:p w:rsidR="00285AA8" w:rsidRPr="00D417D6" w:rsidRDefault="00285AA8" w:rsidP="00285AA8">
            <w:pPr>
              <w:jc w:val="both"/>
              <w:rPr>
                <w:rFonts w:ascii="Tahoma" w:hAnsi="Tahoma"/>
                <w:szCs w:val="22"/>
              </w:rPr>
            </w:pPr>
            <w:r w:rsidRPr="004C11D3">
              <w:rPr>
                <w:rFonts w:ascii="Tahoma" w:hAnsi="Tahoma"/>
                <w:szCs w:val="22"/>
              </w:rPr>
              <w:t>Од друга страна, очекуваното движење на цената на суровата нафтата не се разликува знач</w:t>
            </w:r>
            <w:r w:rsidR="0022046E">
              <w:rPr>
                <w:rFonts w:ascii="Tahoma" w:hAnsi="Tahoma"/>
                <w:szCs w:val="22"/>
              </w:rPr>
              <w:t>ително</w:t>
            </w:r>
            <w:r w:rsidRPr="004C11D3">
              <w:rPr>
                <w:rFonts w:ascii="Tahoma" w:hAnsi="Tahoma"/>
                <w:szCs w:val="22"/>
              </w:rPr>
              <w:t xml:space="preserve"> во однос на априлската проекција, која е  минимално ревидирана во нагорна насока.</w:t>
            </w:r>
          </w:p>
          <w:p w:rsidR="00285AA8" w:rsidRPr="00333C39" w:rsidRDefault="00285AA8" w:rsidP="00333C39">
            <w:pPr>
              <w:ind w:left="34" w:right="34"/>
              <w:jc w:val="both"/>
              <w:rPr>
                <w:rFonts w:ascii="Tahoma" w:hAnsi="Tahoma"/>
                <w:szCs w:val="22"/>
              </w:rPr>
            </w:pPr>
          </w:p>
        </w:tc>
      </w:tr>
      <w:tr w:rsidR="00285AA8" w:rsidRPr="00B0241C" w:rsidTr="00A64392">
        <w:trPr>
          <w:trHeight w:val="702"/>
        </w:trPr>
        <w:tc>
          <w:tcPr>
            <w:tcW w:w="6268" w:type="dxa"/>
          </w:tcPr>
          <w:p w:rsidR="00285AA8" w:rsidRDefault="00285AA8" w:rsidP="00B35F92">
            <w:pPr>
              <w:rPr>
                <w:rFonts w:ascii="Tahoma" w:hAnsi="Tahoma"/>
                <w:sz w:val="18"/>
                <w:szCs w:val="18"/>
                <w:highlight w:val="yellow"/>
              </w:rPr>
            </w:pPr>
          </w:p>
        </w:tc>
        <w:tc>
          <w:tcPr>
            <w:tcW w:w="4472" w:type="dxa"/>
          </w:tcPr>
          <w:p w:rsidR="00700B75" w:rsidRDefault="00700B75" w:rsidP="00A64392">
            <w:pPr>
              <w:jc w:val="both"/>
              <w:rPr>
                <w:rFonts w:ascii="Tahoma" w:hAnsi="Tahoma"/>
                <w:b/>
                <w:szCs w:val="22"/>
              </w:rPr>
            </w:pPr>
          </w:p>
          <w:p w:rsidR="00285AA8" w:rsidRDefault="00285AA8" w:rsidP="00A64392">
            <w:pPr>
              <w:jc w:val="both"/>
              <w:rPr>
                <w:rFonts w:ascii="Tahoma" w:hAnsi="Tahoma"/>
                <w:b/>
                <w:szCs w:val="22"/>
              </w:rPr>
            </w:pPr>
            <w:r>
              <w:rPr>
                <w:rFonts w:ascii="Tahoma" w:hAnsi="Tahoma"/>
                <w:b/>
                <w:szCs w:val="22"/>
              </w:rPr>
              <w:t>В</w:t>
            </w:r>
            <w:r w:rsidRPr="00C66993">
              <w:rPr>
                <w:rFonts w:ascii="Tahoma" w:hAnsi="Tahoma"/>
                <w:b/>
                <w:szCs w:val="22"/>
              </w:rPr>
              <w:t>о билансот на ризици</w:t>
            </w:r>
            <w:r>
              <w:rPr>
                <w:rFonts w:ascii="Tahoma" w:hAnsi="Tahoma"/>
                <w:b/>
                <w:szCs w:val="22"/>
              </w:rPr>
              <w:t xml:space="preserve">, </w:t>
            </w:r>
            <w:r w:rsidRPr="00C66993">
              <w:rPr>
                <w:rFonts w:ascii="Tahoma" w:hAnsi="Tahoma"/>
                <w:b/>
                <w:szCs w:val="22"/>
              </w:rPr>
              <w:t>во поглед на проектираното</w:t>
            </w:r>
            <w:r>
              <w:rPr>
                <w:rFonts w:ascii="Tahoma" w:hAnsi="Tahoma"/>
                <w:b/>
                <w:szCs w:val="22"/>
              </w:rPr>
              <w:t xml:space="preserve"> </w:t>
            </w:r>
            <w:r w:rsidRPr="00C66993">
              <w:rPr>
                <w:rFonts w:ascii="Tahoma" w:hAnsi="Tahoma"/>
                <w:b/>
                <w:szCs w:val="22"/>
              </w:rPr>
              <w:t>движење на цените</w:t>
            </w:r>
            <w:r>
              <w:rPr>
                <w:rFonts w:ascii="Tahoma" w:hAnsi="Tahoma"/>
                <w:b/>
                <w:szCs w:val="22"/>
              </w:rPr>
              <w:t>,</w:t>
            </w:r>
            <w:r w:rsidRPr="00C66993">
              <w:rPr>
                <w:rFonts w:ascii="Tahoma" w:hAnsi="Tahoma"/>
                <w:b/>
                <w:szCs w:val="22"/>
              </w:rPr>
              <w:t xml:space="preserve"> и натаму</w:t>
            </w:r>
            <w:r>
              <w:rPr>
                <w:rFonts w:ascii="Tahoma" w:hAnsi="Tahoma"/>
                <w:b/>
                <w:szCs w:val="22"/>
              </w:rPr>
              <w:t xml:space="preserve"> </w:t>
            </w:r>
            <w:r w:rsidR="00766FEF">
              <w:rPr>
                <w:rFonts w:ascii="Tahoma" w:hAnsi="Tahoma"/>
                <w:b/>
                <w:szCs w:val="22"/>
              </w:rPr>
              <w:t xml:space="preserve">се оценува дека </w:t>
            </w:r>
            <w:r w:rsidRPr="00821DFD">
              <w:rPr>
                <w:rFonts w:ascii="Tahoma" w:hAnsi="Tahoma"/>
                <w:b/>
                <w:szCs w:val="22"/>
              </w:rPr>
              <w:t>надолните ризици</w:t>
            </w:r>
            <w:r w:rsidRPr="00C66993">
              <w:rPr>
                <w:rFonts w:ascii="Tahoma" w:hAnsi="Tahoma"/>
                <w:b/>
                <w:szCs w:val="22"/>
              </w:rPr>
              <w:t xml:space="preserve"> се најзастапени</w:t>
            </w:r>
            <w:r>
              <w:rPr>
                <w:rFonts w:ascii="Tahoma" w:hAnsi="Tahoma"/>
                <w:b/>
                <w:szCs w:val="22"/>
              </w:rPr>
              <w:t>,</w:t>
            </w:r>
            <w:r w:rsidRPr="00114669">
              <w:rPr>
                <w:rFonts w:ascii="Tahoma" w:hAnsi="Tahoma"/>
                <w:b/>
                <w:szCs w:val="22"/>
              </w:rPr>
              <w:t xml:space="preserve"> </w:t>
            </w:r>
            <w:r>
              <w:rPr>
                <w:rFonts w:ascii="Tahoma" w:hAnsi="Tahoma"/>
                <w:b/>
                <w:szCs w:val="22"/>
              </w:rPr>
              <w:t xml:space="preserve">иако </w:t>
            </w:r>
            <w:r w:rsidR="00766FEF">
              <w:rPr>
                <w:rFonts w:ascii="Tahoma" w:hAnsi="Tahoma"/>
                <w:b/>
                <w:szCs w:val="22"/>
              </w:rPr>
              <w:t xml:space="preserve">од гледна точка на динамиката, </w:t>
            </w:r>
            <w:r>
              <w:rPr>
                <w:rFonts w:ascii="Tahoma" w:hAnsi="Tahoma"/>
                <w:b/>
                <w:szCs w:val="22"/>
              </w:rPr>
              <w:t>се помалку нагласени</w:t>
            </w:r>
            <w:r w:rsidRPr="00C66993">
              <w:rPr>
                <w:rFonts w:ascii="Tahoma" w:hAnsi="Tahoma"/>
                <w:b/>
                <w:szCs w:val="22"/>
              </w:rPr>
              <w:t>.</w:t>
            </w:r>
            <w:r w:rsidR="0095547B">
              <w:rPr>
                <w:rFonts w:ascii="Tahoma" w:hAnsi="Tahoma"/>
                <w:b/>
                <w:szCs w:val="22"/>
              </w:rPr>
              <w:t xml:space="preserve"> </w:t>
            </w:r>
          </w:p>
          <w:p w:rsidR="0029129B" w:rsidRPr="00CE4DDA" w:rsidRDefault="0029129B" w:rsidP="00A64392">
            <w:pPr>
              <w:jc w:val="both"/>
              <w:rPr>
                <w:rFonts w:ascii="Tahoma" w:hAnsi="Tahoma"/>
                <w:b/>
                <w:szCs w:val="22"/>
              </w:rPr>
            </w:pPr>
          </w:p>
          <w:p w:rsidR="00285AA8" w:rsidRDefault="00285AA8" w:rsidP="00A64392">
            <w:pPr>
              <w:tabs>
                <w:tab w:val="right" w:leader="dot" w:pos="9072"/>
              </w:tabs>
              <w:spacing w:before="60" w:after="60"/>
              <w:jc w:val="both"/>
              <w:rPr>
                <w:rFonts w:ascii="Tahoma" w:hAnsi="Tahoma"/>
                <w:szCs w:val="22"/>
              </w:rPr>
            </w:pPr>
            <w:r w:rsidRPr="00620D8E">
              <w:rPr>
                <w:rFonts w:ascii="Tahoma" w:hAnsi="Tahoma"/>
                <w:szCs w:val="22"/>
              </w:rPr>
              <w:t>Пониските првични услови</w:t>
            </w:r>
            <w:r w:rsidR="00BB58E5">
              <w:rPr>
                <w:rStyle w:val="FootnoteReference"/>
                <w:rFonts w:ascii="Tahoma" w:hAnsi="Tahoma"/>
                <w:szCs w:val="22"/>
              </w:rPr>
              <w:footnoteReference w:id="6"/>
            </w:r>
            <w:r w:rsidRPr="00620D8E">
              <w:rPr>
                <w:rFonts w:ascii="Tahoma" w:hAnsi="Tahoma"/>
                <w:szCs w:val="22"/>
              </w:rPr>
              <w:t xml:space="preserve"> и ревизии</w:t>
            </w:r>
            <w:r>
              <w:rPr>
                <w:rFonts w:ascii="Tahoma" w:hAnsi="Tahoma"/>
                <w:szCs w:val="22"/>
              </w:rPr>
              <w:t>те</w:t>
            </w:r>
            <w:r w:rsidRPr="00620D8E">
              <w:rPr>
                <w:rFonts w:ascii="Tahoma" w:hAnsi="Tahoma"/>
                <w:szCs w:val="22"/>
              </w:rPr>
              <w:t xml:space="preserve"> на надворешните претпоставки упатуваат на можни надолни притисоци околу проекцијата на инфлацијата за 2014 година.</w:t>
            </w:r>
          </w:p>
          <w:p w:rsidR="00F10006" w:rsidRDefault="00F10006" w:rsidP="00A64392">
            <w:pPr>
              <w:tabs>
                <w:tab w:val="right" w:leader="dot" w:pos="9072"/>
              </w:tabs>
              <w:spacing w:before="60" w:after="60"/>
              <w:jc w:val="both"/>
              <w:rPr>
                <w:rFonts w:ascii="Tahoma" w:hAnsi="Tahoma"/>
                <w:szCs w:val="22"/>
              </w:rPr>
            </w:pPr>
          </w:p>
          <w:p w:rsidR="00285AA8" w:rsidRPr="00CE4DDA" w:rsidRDefault="00E75595" w:rsidP="00A64392">
            <w:pPr>
              <w:jc w:val="both"/>
              <w:rPr>
                <w:rFonts w:ascii="Tahoma" w:hAnsi="Tahoma"/>
                <w:szCs w:val="22"/>
              </w:rPr>
            </w:pPr>
            <w:r>
              <w:rPr>
                <w:rFonts w:ascii="Tahoma" w:hAnsi="Tahoma"/>
                <w:szCs w:val="22"/>
              </w:rPr>
              <w:t>Ф</w:t>
            </w:r>
            <w:r w:rsidR="00285AA8" w:rsidRPr="00CE4DDA">
              <w:rPr>
                <w:rFonts w:ascii="Tahoma" w:hAnsi="Tahoma"/>
                <w:szCs w:val="22"/>
              </w:rPr>
              <w:t>актори</w:t>
            </w:r>
            <w:r>
              <w:rPr>
                <w:rFonts w:ascii="Tahoma" w:hAnsi="Tahoma"/>
                <w:szCs w:val="22"/>
              </w:rPr>
              <w:t>те</w:t>
            </w:r>
            <w:r w:rsidR="00285AA8" w:rsidRPr="00CE4DDA">
              <w:rPr>
                <w:rFonts w:ascii="Tahoma" w:hAnsi="Tahoma"/>
                <w:szCs w:val="22"/>
              </w:rPr>
              <w:t xml:space="preserve"> на ризик коишто </w:t>
            </w:r>
            <w:r w:rsidR="00766FEF">
              <w:rPr>
                <w:rFonts w:ascii="Tahoma" w:hAnsi="Tahoma"/>
                <w:szCs w:val="22"/>
              </w:rPr>
              <w:t>создаваат</w:t>
            </w:r>
            <w:r w:rsidR="00766FEF" w:rsidRPr="00CE4DDA">
              <w:rPr>
                <w:rFonts w:ascii="Tahoma" w:hAnsi="Tahoma"/>
                <w:szCs w:val="22"/>
              </w:rPr>
              <w:t xml:space="preserve">  </w:t>
            </w:r>
            <w:r w:rsidR="00285AA8" w:rsidRPr="00CE4DDA">
              <w:rPr>
                <w:rFonts w:ascii="Tahoma" w:hAnsi="Tahoma"/>
                <w:szCs w:val="22"/>
              </w:rPr>
              <w:t>нагорни притисоци</w:t>
            </w:r>
            <w:r>
              <w:rPr>
                <w:rFonts w:ascii="Tahoma" w:hAnsi="Tahoma"/>
                <w:szCs w:val="22"/>
              </w:rPr>
              <w:t xml:space="preserve"> остануваат слични како во претходната информација, односно...</w:t>
            </w:r>
          </w:p>
          <w:p w:rsidR="00285AA8" w:rsidRPr="00CE4DDA" w:rsidRDefault="00285AA8" w:rsidP="00A64392">
            <w:pPr>
              <w:jc w:val="both"/>
              <w:rPr>
                <w:rFonts w:ascii="Tahoma" w:hAnsi="Tahoma"/>
                <w:b/>
                <w:szCs w:val="22"/>
              </w:rPr>
            </w:pPr>
          </w:p>
          <w:p w:rsidR="00CF22A0" w:rsidRDefault="00E75595" w:rsidP="00A64392">
            <w:pPr>
              <w:jc w:val="both"/>
              <w:rPr>
                <w:rFonts w:ascii="Tahoma" w:hAnsi="Tahoma"/>
                <w:szCs w:val="22"/>
              </w:rPr>
            </w:pPr>
            <w:r>
              <w:rPr>
                <w:rFonts w:ascii="Tahoma" w:hAnsi="Tahoma"/>
                <w:szCs w:val="22"/>
              </w:rPr>
              <w:t>...</w:t>
            </w:r>
            <w:r w:rsidR="00766FEF">
              <w:rPr>
                <w:rFonts w:ascii="Tahoma" w:hAnsi="Tahoma"/>
                <w:szCs w:val="22"/>
              </w:rPr>
              <w:t xml:space="preserve">и натаму има </w:t>
            </w:r>
            <w:r>
              <w:rPr>
                <w:rFonts w:ascii="Tahoma" w:hAnsi="Tahoma"/>
                <w:szCs w:val="22"/>
              </w:rPr>
              <w:t>с</w:t>
            </w:r>
            <w:r w:rsidR="00285AA8">
              <w:rPr>
                <w:rFonts w:ascii="Tahoma" w:hAnsi="Tahoma"/>
                <w:szCs w:val="22"/>
              </w:rPr>
              <w:t xml:space="preserve">травувања </w:t>
            </w:r>
            <w:r w:rsidR="00766FEF">
              <w:rPr>
                <w:rFonts w:ascii="Tahoma" w:hAnsi="Tahoma"/>
                <w:szCs w:val="22"/>
              </w:rPr>
              <w:t>за</w:t>
            </w:r>
            <w:r w:rsidR="00285AA8">
              <w:rPr>
                <w:rFonts w:ascii="Tahoma" w:hAnsi="Tahoma"/>
                <w:szCs w:val="22"/>
              </w:rPr>
              <w:t xml:space="preserve"> геополитички ризици, </w:t>
            </w:r>
            <w:r w:rsidR="00766FEF">
              <w:rPr>
                <w:rFonts w:ascii="Tahoma" w:hAnsi="Tahoma"/>
                <w:szCs w:val="22"/>
              </w:rPr>
              <w:t>коишто</w:t>
            </w:r>
            <w:r w:rsidR="00285AA8">
              <w:rPr>
                <w:rFonts w:ascii="Tahoma" w:hAnsi="Tahoma"/>
                <w:szCs w:val="22"/>
              </w:rPr>
              <w:t xml:space="preserve"> се поврзани со </w:t>
            </w:r>
            <w:r w:rsidR="00285AA8" w:rsidRPr="00777ED8">
              <w:rPr>
                <w:rFonts w:ascii="Tahoma" w:hAnsi="Tahoma"/>
                <w:szCs w:val="22"/>
              </w:rPr>
              <w:t>воените конфликти во Украина</w:t>
            </w:r>
            <w:r w:rsidR="00285AA8">
              <w:rPr>
                <w:rFonts w:ascii="Tahoma" w:hAnsi="Tahoma"/>
                <w:szCs w:val="22"/>
              </w:rPr>
              <w:t>,</w:t>
            </w:r>
            <w:r w:rsidR="00285AA8" w:rsidRPr="00777ED8">
              <w:rPr>
                <w:rFonts w:ascii="Tahoma" w:hAnsi="Tahoma"/>
                <w:szCs w:val="22"/>
              </w:rPr>
              <w:t xml:space="preserve"> на Блискиот Исток</w:t>
            </w:r>
            <w:r w:rsidR="00285AA8">
              <w:rPr>
                <w:rFonts w:ascii="Tahoma" w:hAnsi="Tahoma"/>
                <w:szCs w:val="22"/>
              </w:rPr>
              <w:t xml:space="preserve"> и Северна Африка</w:t>
            </w:r>
            <w:r w:rsidR="00CF22A0">
              <w:rPr>
                <w:rFonts w:ascii="Tahoma" w:hAnsi="Tahoma"/>
                <w:szCs w:val="22"/>
              </w:rPr>
              <w:t>...</w:t>
            </w:r>
          </w:p>
          <w:p w:rsidR="00CF22A0" w:rsidRDefault="00CF22A0" w:rsidP="00A64392">
            <w:pPr>
              <w:jc w:val="both"/>
              <w:rPr>
                <w:rFonts w:ascii="Tahoma" w:hAnsi="Tahoma"/>
                <w:szCs w:val="22"/>
              </w:rPr>
            </w:pPr>
          </w:p>
          <w:p w:rsidR="009F63B0" w:rsidRPr="00A26B71" w:rsidRDefault="00CF22A0" w:rsidP="009F63B0">
            <w:pPr>
              <w:jc w:val="both"/>
              <w:rPr>
                <w:rFonts w:ascii="Tahoma" w:hAnsi="Tahoma"/>
              </w:rPr>
            </w:pPr>
            <w:r>
              <w:rPr>
                <w:rFonts w:ascii="Tahoma" w:hAnsi="Tahoma"/>
                <w:szCs w:val="22"/>
              </w:rPr>
              <w:t>..</w:t>
            </w:r>
            <w:r w:rsidR="009F63B0">
              <w:rPr>
                <w:rFonts w:ascii="Tahoma" w:hAnsi="Tahoma"/>
                <w:szCs w:val="22"/>
              </w:rPr>
              <w:t>.</w:t>
            </w:r>
            <w:r w:rsidR="00EB0EED">
              <w:rPr>
                <w:rFonts w:ascii="Tahoma" w:hAnsi="Tahoma"/>
                <w:szCs w:val="22"/>
              </w:rPr>
              <w:t xml:space="preserve">што се одразува со привремена </w:t>
            </w:r>
            <w:r w:rsidR="00766FEF">
              <w:rPr>
                <w:rFonts w:ascii="Tahoma" w:hAnsi="Tahoma"/>
                <w:szCs w:val="22"/>
              </w:rPr>
              <w:t xml:space="preserve">непостојаност </w:t>
            </w:r>
            <w:r w:rsidR="00EB0EED">
              <w:rPr>
                <w:rFonts w:ascii="Tahoma" w:hAnsi="Tahoma"/>
                <w:szCs w:val="22"/>
              </w:rPr>
              <w:t xml:space="preserve">на цените на </w:t>
            </w:r>
            <w:r w:rsidR="009F63B0">
              <w:rPr>
                <w:rFonts w:ascii="Tahoma" w:hAnsi="Tahoma"/>
              </w:rPr>
              <w:t>дел од примарните производи</w:t>
            </w:r>
            <w:r w:rsidR="00EB0EED">
              <w:rPr>
                <w:rFonts w:ascii="Tahoma" w:hAnsi="Tahoma"/>
              </w:rPr>
              <w:t>.</w:t>
            </w:r>
          </w:p>
          <w:p w:rsidR="00700B75" w:rsidRDefault="00700B75" w:rsidP="00A64392">
            <w:pPr>
              <w:jc w:val="both"/>
              <w:rPr>
                <w:rFonts w:ascii="Tahoma" w:hAnsi="Tahoma"/>
                <w:b/>
                <w:szCs w:val="22"/>
              </w:rPr>
            </w:pPr>
          </w:p>
          <w:p w:rsidR="00285AA8" w:rsidRPr="00CE4DDA" w:rsidRDefault="00285AA8" w:rsidP="00A64392">
            <w:pPr>
              <w:jc w:val="both"/>
              <w:rPr>
                <w:rFonts w:ascii="Tahoma" w:hAnsi="Tahoma"/>
                <w:szCs w:val="22"/>
              </w:rPr>
            </w:pPr>
            <w:r w:rsidRPr="00CE4DDA">
              <w:rPr>
                <w:rFonts w:ascii="Tahoma" w:hAnsi="Tahoma"/>
                <w:szCs w:val="22"/>
              </w:rPr>
              <w:t>Исто така, поплавите коишто</w:t>
            </w:r>
            <w:r>
              <w:rPr>
                <w:rFonts w:ascii="Tahoma" w:hAnsi="Tahoma"/>
                <w:szCs w:val="22"/>
              </w:rPr>
              <w:t xml:space="preserve"> повторно </w:t>
            </w:r>
            <w:r w:rsidRPr="00CE4DDA">
              <w:rPr>
                <w:rFonts w:ascii="Tahoma" w:hAnsi="Tahoma"/>
                <w:szCs w:val="22"/>
              </w:rPr>
              <w:t xml:space="preserve"> </w:t>
            </w:r>
            <w:r w:rsidRPr="00CE4DDA">
              <w:rPr>
                <w:rFonts w:ascii="Tahoma" w:hAnsi="Tahoma"/>
              </w:rPr>
              <w:t xml:space="preserve">го зафатија регионот може </w:t>
            </w:r>
            <w:r>
              <w:rPr>
                <w:rFonts w:ascii="Tahoma" w:hAnsi="Tahoma"/>
              </w:rPr>
              <w:t xml:space="preserve">и понатаму </w:t>
            </w:r>
            <w:r w:rsidRPr="00CE4DDA">
              <w:rPr>
                <w:rFonts w:ascii="Tahoma" w:hAnsi="Tahoma"/>
              </w:rPr>
              <w:t xml:space="preserve">да </w:t>
            </w:r>
            <w:r w:rsidR="00E6605D">
              <w:rPr>
                <w:rFonts w:ascii="Tahoma" w:hAnsi="Tahoma"/>
              </w:rPr>
              <w:t>создадат</w:t>
            </w:r>
            <w:r w:rsidR="00E6605D" w:rsidRPr="00CE4DDA">
              <w:rPr>
                <w:rFonts w:ascii="Tahoma" w:hAnsi="Tahoma"/>
              </w:rPr>
              <w:t xml:space="preserve"> </w:t>
            </w:r>
            <w:r w:rsidRPr="00CE4DDA">
              <w:rPr>
                <w:rFonts w:ascii="Tahoma" w:hAnsi="Tahoma"/>
              </w:rPr>
              <w:t>нагорни притисоци врз домашните цени на храната</w:t>
            </w:r>
            <w:r w:rsidRPr="00CE4DDA">
              <w:rPr>
                <w:rStyle w:val="FootnoteReference"/>
                <w:rFonts w:ascii="Tahoma" w:hAnsi="Tahoma"/>
              </w:rPr>
              <w:footnoteReference w:id="7"/>
            </w:r>
            <w:r w:rsidRPr="00CE4DDA">
              <w:rPr>
                <w:rFonts w:ascii="Tahoma" w:hAnsi="Tahoma"/>
              </w:rPr>
              <w:t>.</w:t>
            </w:r>
          </w:p>
          <w:p w:rsidR="00285AA8" w:rsidRPr="00CE4DDA" w:rsidRDefault="00285AA8" w:rsidP="00A64392">
            <w:pPr>
              <w:spacing w:line="188" w:lineRule="atLeast"/>
              <w:jc w:val="both"/>
              <w:rPr>
                <w:rFonts w:ascii="Tahoma" w:hAnsi="Tahoma"/>
              </w:rPr>
            </w:pPr>
          </w:p>
          <w:p w:rsidR="00285AA8" w:rsidRPr="00993B8B" w:rsidRDefault="00E6605D" w:rsidP="00A64392">
            <w:pPr>
              <w:spacing w:line="188" w:lineRule="atLeast"/>
              <w:jc w:val="both"/>
              <w:rPr>
                <w:rFonts w:ascii="Tahoma" w:hAnsi="Tahoma"/>
                <w:szCs w:val="22"/>
              </w:rPr>
            </w:pPr>
            <w:r>
              <w:rPr>
                <w:rFonts w:ascii="Tahoma" w:hAnsi="Tahoma"/>
                <w:szCs w:val="22"/>
              </w:rPr>
              <w:t>В</w:t>
            </w:r>
            <w:r w:rsidR="00285AA8" w:rsidRPr="00993B8B">
              <w:rPr>
                <w:rFonts w:ascii="Tahoma" w:hAnsi="Tahoma"/>
                <w:szCs w:val="22"/>
              </w:rPr>
              <w:t>о</w:t>
            </w:r>
            <w:r w:rsidR="00285AA8">
              <w:rPr>
                <w:rFonts w:ascii="Tahoma" w:hAnsi="Tahoma"/>
                <w:szCs w:val="22"/>
              </w:rPr>
              <w:t xml:space="preserve"> </w:t>
            </w:r>
            <w:r w:rsidR="00285AA8" w:rsidRPr="00993B8B">
              <w:rPr>
                <w:rFonts w:ascii="Tahoma" w:hAnsi="Tahoma"/>
                <w:szCs w:val="22"/>
              </w:rPr>
              <w:t>следниот период</w:t>
            </w:r>
            <w:r>
              <w:rPr>
                <w:rFonts w:ascii="Tahoma" w:hAnsi="Tahoma"/>
                <w:szCs w:val="22"/>
              </w:rPr>
              <w:t>, о</w:t>
            </w:r>
            <w:r w:rsidRPr="00993B8B">
              <w:rPr>
                <w:rFonts w:ascii="Tahoma" w:hAnsi="Tahoma"/>
                <w:szCs w:val="22"/>
              </w:rPr>
              <w:t>вие ризици</w:t>
            </w:r>
            <w:r w:rsidR="00285AA8" w:rsidRPr="00993B8B">
              <w:rPr>
                <w:rFonts w:ascii="Tahoma" w:hAnsi="Tahoma"/>
                <w:szCs w:val="22"/>
              </w:rPr>
              <w:t xml:space="preserve"> би можеле да доведат до нагорни </w:t>
            </w:r>
            <w:proofErr w:type="spellStart"/>
            <w:r w:rsidR="00285AA8" w:rsidRPr="00993B8B">
              <w:rPr>
                <w:rFonts w:ascii="Tahoma" w:hAnsi="Tahoma"/>
                <w:szCs w:val="22"/>
              </w:rPr>
              <w:t>ценовни</w:t>
            </w:r>
            <w:proofErr w:type="spellEnd"/>
            <w:r w:rsidR="00285AA8" w:rsidRPr="00993B8B">
              <w:rPr>
                <w:rFonts w:ascii="Tahoma" w:hAnsi="Tahoma"/>
                <w:szCs w:val="22"/>
              </w:rPr>
              <w:t xml:space="preserve"> </w:t>
            </w:r>
          </w:p>
          <w:p w:rsidR="00285AA8" w:rsidRPr="00CE0066" w:rsidRDefault="00285AA8" w:rsidP="00A64392">
            <w:pPr>
              <w:spacing w:line="188" w:lineRule="atLeast"/>
              <w:jc w:val="both"/>
              <w:rPr>
                <w:rFonts w:ascii="Tahoma" w:hAnsi="Tahoma"/>
                <w:szCs w:val="22"/>
              </w:rPr>
            </w:pPr>
            <w:r w:rsidRPr="00993B8B">
              <w:rPr>
                <w:rFonts w:ascii="Tahoma" w:hAnsi="Tahoma"/>
                <w:szCs w:val="22"/>
              </w:rPr>
              <w:t>притисоци преку увезените цени</w:t>
            </w:r>
            <w:r>
              <w:rPr>
                <w:rFonts w:ascii="Tahoma" w:hAnsi="Tahoma"/>
                <w:szCs w:val="22"/>
              </w:rPr>
              <w:t xml:space="preserve"> </w:t>
            </w:r>
            <w:r w:rsidRPr="00993B8B">
              <w:rPr>
                <w:rFonts w:ascii="Tahoma" w:hAnsi="Tahoma"/>
                <w:szCs w:val="22"/>
              </w:rPr>
              <w:t>на храната и енергијата.</w:t>
            </w:r>
          </w:p>
        </w:tc>
      </w:tr>
      <w:tr w:rsidR="00700B75" w:rsidRPr="00B0241C" w:rsidTr="00CA2696">
        <w:trPr>
          <w:trHeight w:val="702"/>
        </w:trPr>
        <w:tc>
          <w:tcPr>
            <w:tcW w:w="6268" w:type="dxa"/>
          </w:tcPr>
          <w:p w:rsidR="00700B75" w:rsidRDefault="00700B75" w:rsidP="00B35F92">
            <w:pPr>
              <w:rPr>
                <w:rFonts w:ascii="Tahoma" w:hAnsi="Tahoma"/>
                <w:sz w:val="18"/>
                <w:szCs w:val="18"/>
                <w:highlight w:val="yellow"/>
              </w:rPr>
            </w:pPr>
          </w:p>
          <w:p w:rsidR="00700B75" w:rsidRDefault="00700B75" w:rsidP="00B35F92">
            <w:pPr>
              <w:rPr>
                <w:rFonts w:ascii="Tahoma" w:hAnsi="Tahoma"/>
                <w:sz w:val="18"/>
                <w:szCs w:val="18"/>
                <w:highlight w:val="yellow"/>
              </w:rPr>
            </w:pPr>
          </w:p>
          <w:p w:rsidR="00700B75" w:rsidRDefault="00700B75" w:rsidP="00B35F92">
            <w:pPr>
              <w:rPr>
                <w:rFonts w:ascii="Tahoma" w:hAnsi="Tahoma"/>
                <w:sz w:val="18"/>
                <w:szCs w:val="18"/>
                <w:highlight w:val="yellow"/>
              </w:rPr>
            </w:pPr>
          </w:p>
          <w:p w:rsidR="00700B75" w:rsidRDefault="00700B75" w:rsidP="00B35F92">
            <w:pPr>
              <w:rPr>
                <w:rFonts w:ascii="Tahoma" w:hAnsi="Tahoma"/>
                <w:sz w:val="18"/>
                <w:szCs w:val="18"/>
                <w:highlight w:val="yellow"/>
              </w:rPr>
            </w:pPr>
          </w:p>
          <w:p w:rsidR="00700B75" w:rsidRDefault="004B5747" w:rsidP="00B35F92">
            <w:pPr>
              <w:rPr>
                <w:rFonts w:ascii="Tahoma" w:hAnsi="Tahoma"/>
                <w:sz w:val="18"/>
                <w:szCs w:val="18"/>
                <w:highlight w:val="yellow"/>
              </w:rPr>
            </w:pPr>
            <w:r w:rsidRPr="00A0788A">
              <w:rPr>
                <w:rFonts w:ascii="Tahoma" w:hAnsi="Tahoma"/>
                <w:b/>
                <w:noProof/>
                <w:sz w:val="18"/>
                <w:szCs w:val="18"/>
                <w:lang w:val="en-US"/>
              </w:rPr>
              <w:lastRenderedPageBreak/>
              <w:drawing>
                <wp:anchor distT="0" distB="0" distL="114300" distR="114300" simplePos="0" relativeHeight="251660288" behindDoc="1" locked="0" layoutInCell="1" allowOverlap="1">
                  <wp:simplePos x="0" y="0"/>
                  <wp:positionH relativeFrom="column">
                    <wp:posOffset>3810</wp:posOffset>
                  </wp:positionH>
                  <wp:positionV relativeFrom="paragraph">
                    <wp:posOffset>174625</wp:posOffset>
                  </wp:positionV>
                  <wp:extent cx="3889375" cy="2601595"/>
                  <wp:effectExtent l="0" t="0" r="0" b="825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9375" cy="2601595"/>
                          </a:xfrm>
                          <a:prstGeom prst="rect">
                            <a:avLst/>
                          </a:prstGeom>
                          <a:noFill/>
                          <a:ln>
                            <a:noFill/>
                          </a:ln>
                        </pic:spPr>
                      </pic:pic>
                    </a:graphicData>
                  </a:graphic>
                </wp:anchor>
              </w:drawing>
            </w:r>
          </w:p>
          <w:p w:rsidR="00F5102B" w:rsidRDefault="00F5102B" w:rsidP="00B35F92">
            <w:pPr>
              <w:rPr>
                <w:rFonts w:ascii="Tahoma" w:hAnsi="Tahoma"/>
                <w:sz w:val="18"/>
                <w:szCs w:val="18"/>
                <w:highlight w:val="yellow"/>
              </w:rPr>
            </w:pPr>
          </w:p>
          <w:p w:rsidR="00F5102B" w:rsidRDefault="00F5102B" w:rsidP="00B35F92">
            <w:pPr>
              <w:rPr>
                <w:rFonts w:ascii="Tahoma" w:hAnsi="Tahoma"/>
                <w:sz w:val="18"/>
                <w:szCs w:val="18"/>
                <w:highlight w:val="yellow"/>
              </w:rPr>
            </w:pPr>
          </w:p>
          <w:p w:rsidR="00F5102B" w:rsidRDefault="004B5747" w:rsidP="00B35F92">
            <w:pPr>
              <w:rPr>
                <w:rFonts w:ascii="Tahoma" w:hAnsi="Tahoma"/>
                <w:sz w:val="18"/>
                <w:szCs w:val="18"/>
                <w:highlight w:val="yellow"/>
              </w:rPr>
            </w:pPr>
            <w:r>
              <w:rPr>
                <w:rFonts w:ascii="Tahoma" w:hAnsi="Tahoma"/>
                <w:noProof/>
                <w:sz w:val="18"/>
                <w:szCs w:val="18"/>
                <w:lang w:val="en-US"/>
              </w:rPr>
              <w:drawing>
                <wp:inline distT="0" distB="0" distL="0" distR="0">
                  <wp:extent cx="3735767" cy="25102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5871" cy="2510357"/>
                          </a:xfrm>
                          <a:prstGeom prst="rect">
                            <a:avLst/>
                          </a:prstGeom>
                          <a:noFill/>
                          <a:ln>
                            <a:noFill/>
                          </a:ln>
                        </pic:spPr>
                      </pic:pic>
                    </a:graphicData>
                  </a:graphic>
                </wp:inline>
              </w:drawing>
            </w: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1B2BD8" w:rsidRDefault="001B2BD8" w:rsidP="00B35F92">
            <w:pPr>
              <w:rPr>
                <w:rFonts w:ascii="Tahoma" w:hAnsi="Tahoma"/>
                <w:noProof/>
                <w:sz w:val="18"/>
                <w:szCs w:val="18"/>
              </w:rPr>
            </w:pPr>
          </w:p>
          <w:p w:rsidR="00700B75" w:rsidRDefault="00700B75" w:rsidP="00B35F92">
            <w:pPr>
              <w:rPr>
                <w:rFonts w:ascii="Tahoma" w:hAnsi="Tahoma"/>
                <w:sz w:val="18"/>
                <w:szCs w:val="18"/>
                <w:highlight w:val="yellow"/>
              </w:rPr>
            </w:pPr>
          </w:p>
        </w:tc>
        <w:tc>
          <w:tcPr>
            <w:tcW w:w="4472" w:type="dxa"/>
            <w:vAlign w:val="center"/>
          </w:tcPr>
          <w:p w:rsidR="00700B75" w:rsidRDefault="00700B75" w:rsidP="00333C39">
            <w:pPr>
              <w:ind w:left="34" w:right="34"/>
              <w:jc w:val="both"/>
              <w:rPr>
                <w:rFonts w:ascii="Tahoma" w:hAnsi="Tahoma"/>
                <w:szCs w:val="22"/>
              </w:rPr>
            </w:pPr>
          </w:p>
          <w:p w:rsidR="00700B75" w:rsidRDefault="00700B75" w:rsidP="00333C39">
            <w:pPr>
              <w:ind w:left="34" w:right="34"/>
              <w:jc w:val="both"/>
              <w:rPr>
                <w:rFonts w:ascii="Tahoma" w:hAnsi="Tahoma"/>
                <w:szCs w:val="22"/>
              </w:rPr>
            </w:pPr>
          </w:p>
          <w:p w:rsidR="004B5747" w:rsidRDefault="004B5747" w:rsidP="00333C39">
            <w:pPr>
              <w:ind w:left="34" w:right="34"/>
              <w:jc w:val="both"/>
              <w:rPr>
                <w:rFonts w:ascii="Tahoma" w:hAnsi="Tahoma"/>
                <w:szCs w:val="22"/>
              </w:rPr>
            </w:pPr>
          </w:p>
          <w:p w:rsidR="004B5747" w:rsidRDefault="004B5747" w:rsidP="00333C39">
            <w:pPr>
              <w:ind w:left="34" w:right="34"/>
              <w:jc w:val="both"/>
              <w:rPr>
                <w:rFonts w:ascii="Tahoma" w:hAnsi="Tahoma"/>
                <w:szCs w:val="22"/>
              </w:rPr>
            </w:pPr>
          </w:p>
          <w:p w:rsidR="004B5747" w:rsidRDefault="004B5747" w:rsidP="00333C39">
            <w:pPr>
              <w:ind w:left="34" w:right="34"/>
              <w:jc w:val="both"/>
              <w:rPr>
                <w:rFonts w:ascii="Tahoma" w:hAnsi="Tahoma"/>
                <w:szCs w:val="22"/>
              </w:rPr>
            </w:pPr>
          </w:p>
          <w:p w:rsidR="004B5747" w:rsidRDefault="004B5747" w:rsidP="00333C39">
            <w:pPr>
              <w:ind w:left="34" w:right="34"/>
              <w:jc w:val="both"/>
              <w:rPr>
                <w:rFonts w:ascii="Tahoma" w:hAnsi="Tahoma"/>
                <w:szCs w:val="22"/>
              </w:rPr>
            </w:pPr>
          </w:p>
          <w:p w:rsidR="00A40CE9" w:rsidRDefault="00A40CE9" w:rsidP="00333C39">
            <w:pPr>
              <w:ind w:left="34" w:right="34"/>
              <w:jc w:val="both"/>
              <w:rPr>
                <w:rFonts w:ascii="Tahoma" w:hAnsi="Tahoma"/>
                <w:szCs w:val="22"/>
              </w:rPr>
            </w:pPr>
          </w:p>
          <w:p w:rsidR="00700B75" w:rsidRPr="00333C39" w:rsidRDefault="00700B75" w:rsidP="00333C39">
            <w:pPr>
              <w:ind w:left="34" w:right="34"/>
              <w:jc w:val="both"/>
              <w:rPr>
                <w:rFonts w:ascii="Tahoma" w:hAnsi="Tahoma"/>
                <w:szCs w:val="22"/>
              </w:rPr>
            </w:pPr>
            <w:r w:rsidRPr="00333C39">
              <w:rPr>
                <w:rFonts w:ascii="Tahoma" w:hAnsi="Tahoma"/>
                <w:szCs w:val="22"/>
              </w:rPr>
              <w:lastRenderedPageBreak/>
              <w:t xml:space="preserve">Просечната </w:t>
            </w:r>
            <w:proofErr w:type="spellStart"/>
            <w:r w:rsidRPr="00333C39">
              <w:rPr>
                <w:rFonts w:ascii="Tahoma" w:hAnsi="Tahoma"/>
                <w:b/>
                <w:szCs w:val="22"/>
              </w:rPr>
              <w:t>нето-плата</w:t>
            </w:r>
            <w:proofErr w:type="spellEnd"/>
            <w:r w:rsidRPr="00333C39">
              <w:rPr>
                <w:rFonts w:ascii="Tahoma" w:hAnsi="Tahoma"/>
                <w:szCs w:val="22"/>
              </w:rPr>
              <w:t xml:space="preserve">  во мај 2014 година забележа номинален годишен раст од 0,9%, што е идентичен со растот во април...</w:t>
            </w:r>
          </w:p>
          <w:p w:rsidR="00700B75" w:rsidRPr="00333C39" w:rsidRDefault="00700B75" w:rsidP="00333C39">
            <w:pPr>
              <w:ind w:left="34" w:right="34"/>
              <w:jc w:val="both"/>
              <w:rPr>
                <w:rFonts w:ascii="Tahoma" w:hAnsi="Tahoma"/>
                <w:szCs w:val="22"/>
              </w:rPr>
            </w:pPr>
          </w:p>
          <w:p w:rsidR="00700B75" w:rsidRPr="00333C39" w:rsidRDefault="00700B75" w:rsidP="00333C39">
            <w:pPr>
              <w:jc w:val="both"/>
              <w:rPr>
                <w:rFonts w:ascii="Tahoma" w:hAnsi="Tahoma"/>
                <w:szCs w:val="22"/>
              </w:rPr>
            </w:pPr>
            <w:r w:rsidRPr="00333C39">
              <w:rPr>
                <w:rFonts w:ascii="Tahoma" w:hAnsi="Tahoma"/>
                <w:szCs w:val="22"/>
                <w:lang w:val="en-US"/>
              </w:rPr>
              <w:t>...</w:t>
            </w:r>
            <w:r w:rsidRPr="00333C39">
              <w:rPr>
                <w:rFonts w:ascii="Tahoma" w:hAnsi="Tahoma"/>
                <w:szCs w:val="22"/>
              </w:rPr>
              <w:t>во услови на натамошен раст на платите во градежништвото и услужните дејности, во чии рамки најголем пораст е остварен во дејностите „стручни, научни и технички дејности“, „административни и помошни услужни дејности“ и во секторот „информации и комуникации“...</w:t>
            </w:r>
          </w:p>
          <w:p w:rsidR="00700B75" w:rsidRPr="00333C39" w:rsidRDefault="00700B75" w:rsidP="00333C39">
            <w:pPr>
              <w:ind w:left="34" w:right="34"/>
              <w:jc w:val="both"/>
              <w:rPr>
                <w:rFonts w:ascii="Tahoma" w:hAnsi="Tahoma"/>
                <w:szCs w:val="22"/>
              </w:rPr>
            </w:pPr>
          </w:p>
          <w:p w:rsidR="00700B75" w:rsidRPr="00333C39" w:rsidRDefault="00700B75" w:rsidP="00333C39">
            <w:pPr>
              <w:ind w:left="34" w:right="34"/>
              <w:jc w:val="both"/>
              <w:rPr>
                <w:rFonts w:ascii="Tahoma" w:hAnsi="Tahoma"/>
                <w:szCs w:val="22"/>
              </w:rPr>
            </w:pPr>
            <w:r>
              <w:rPr>
                <w:rFonts w:ascii="Tahoma" w:hAnsi="Tahoma"/>
                <w:szCs w:val="22"/>
              </w:rPr>
              <w:t>...</w:t>
            </w:r>
            <w:r w:rsidRPr="00333C39">
              <w:rPr>
                <w:rFonts w:ascii="Tahoma" w:hAnsi="Tahoma"/>
                <w:szCs w:val="22"/>
              </w:rPr>
              <w:t>а позабележителен пад на платите е регистриран во  угостителството и снабдувањето со електрична енергија.</w:t>
            </w:r>
          </w:p>
          <w:p w:rsidR="00700B75" w:rsidRPr="00333C39" w:rsidRDefault="00700B75" w:rsidP="00333C39">
            <w:pPr>
              <w:ind w:left="34" w:right="34"/>
              <w:jc w:val="both"/>
              <w:rPr>
                <w:rFonts w:ascii="Tahoma" w:hAnsi="Tahoma"/>
                <w:szCs w:val="22"/>
              </w:rPr>
            </w:pPr>
          </w:p>
          <w:p w:rsidR="00700B75" w:rsidRPr="00333C39" w:rsidRDefault="00700B75" w:rsidP="00333C39">
            <w:pPr>
              <w:autoSpaceDE w:val="0"/>
              <w:autoSpaceDN w:val="0"/>
              <w:adjustRightInd w:val="0"/>
              <w:jc w:val="both"/>
              <w:rPr>
                <w:b/>
                <w:szCs w:val="22"/>
              </w:rPr>
            </w:pPr>
            <w:r w:rsidRPr="00333C39">
              <w:rPr>
                <w:rFonts w:ascii="Tahoma" w:hAnsi="Tahoma"/>
                <w:b/>
                <w:szCs w:val="22"/>
              </w:rPr>
              <w:t>Растот на платите во првите два месеца од вториот квартал соодветствува со очекувањата од априлската проекција (очекуван раст од 1,0%).</w:t>
            </w:r>
          </w:p>
          <w:p w:rsidR="00700B75" w:rsidRPr="00333C39" w:rsidRDefault="00700B75" w:rsidP="00333C39">
            <w:pPr>
              <w:jc w:val="both"/>
              <w:rPr>
                <w:rFonts w:ascii="Tahoma" w:hAnsi="Tahoma"/>
                <w:szCs w:val="22"/>
              </w:rPr>
            </w:pPr>
          </w:p>
          <w:p w:rsidR="00700B75" w:rsidRDefault="00700B75" w:rsidP="00333C39">
            <w:pPr>
              <w:jc w:val="both"/>
              <w:rPr>
                <w:rFonts w:ascii="Tahoma" w:hAnsi="Tahoma"/>
                <w:szCs w:val="22"/>
              </w:rPr>
            </w:pPr>
            <w:r w:rsidRPr="00333C39">
              <w:rPr>
                <w:rFonts w:ascii="Tahoma" w:hAnsi="Tahoma"/>
                <w:szCs w:val="22"/>
              </w:rPr>
              <w:t xml:space="preserve">При негативна годишна промена на потрошувачките цени од 0,6%, растот на </w:t>
            </w:r>
            <w:r w:rsidRPr="00333C39">
              <w:rPr>
                <w:rFonts w:ascii="Tahoma" w:hAnsi="Tahoma"/>
                <w:b/>
                <w:szCs w:val="22"/>
              </w:rPr>
              <w:t>реалните плати</w:t>
            </w:r>
            <w:r w:rsidRPr="00333C39">
              <w:rPr>
                <w:rFonts w:ascii="Tahoma" w:hAnsi="Tahoma"/>
                <w:szCs w:val="22"/>
              </w:rPr>
              <w:t xml:space="preserve"> продолжи и во мај</w:t>
            </w:r>
            <w:r w:rsidR="00AE7D89">
              <w:rPr>
                <w:rFonts w:ascii="Tahoma" w:hAnsi="Tahoma"/>
                <w:szCs w:val="22"/>
              </w:rPr>
              <w:t>,</w:t>
            </w:r>
            <w:r w:rsidRPr="00333C39">
              <w:rPr>
                <w:rFonts w:ascii="Tahoma" w:hAnsi="Tahoma"/>
                <w:szCs w:val="22"/>
              </w:rPr>
              <w:t xml:space="preserve"> кога е забележан годишен раст од 1,5% (малку побавен раст од претходниот месец). </w:t>
            </w:r>
          </w:p>
          <w:p w:rsidR="004B5747" w:rsidRDefault="004B5747" w:rsidP="00333C39">
            <w:pPr>
              <w:jc w:val="both"/>
              <w:rPr>
                <w:rFonts w:ascii="Tahoma" w:hAnsi="Tahoma"/>
                <w:szCs w:val="22"/>
              </w:rPr>
            </w:pPr>
          </w:p>
          <w:p w:rsidR="004B5747" w:rsidRDefault="004B5747" w:rsidP="00333C39">
            <w:pPr>
              <w:jc w:val="both"/>
              <w:rPr>
                <w:rFonts w:ascii="Tahoma" w:hAnsi="Tahoma"/>
                <w:szCs w:val="22"/>
              </w:rPr>
            </w:pPr>
          </w:p>
          <w:p w:rsidR="00700B75" w:rsidRPr="00333C39" w:rsidRDefault="00700B75" w:rsidP="00333C39">
            <w:pPr>
              <w:jc w:val="both"/>
              <w:rPr>
                <w:rFonts w:ascii="Tahoma" w:hAnsi="Tahoma"/>
                <w:szCs w:val="22"/>
              </w:rPr>
            </w:pPr>
          </w:p>
          <w:p w:rsidR="00700B75" w:rsidRPr="00333C39" w:rsidRDefault="00700B75" w:rsidP="00333C39">
            <w:pPr>
              <w:jc w:val="both"/>
              <w:rPr>
                <w:rFonts w:ascii="Tahoma" w:hAnsi="Tahoma"/>
                <w:b/>
                <w:bCs/>
              </w:rPr>
            </w:pPr>
            <w:r w:rsidRPr="00333C39">
              <w:rPr>
                <w:rFonts w:ascii="Tahoma" w:hAnsi="Tahoma"/>
                <w:b/>
                <w:bCs/>
              </w:rPr>
              <w:t>Расположливите податоци за вториот квартал на 2014 година укажуваат на продолжување на годишниот раст на домашната економија, при продолжување на позитивните остварувања кај клучните економски сектори.</w:t>
            </w:r>
          </w:p>
          <w:p w:rsidR="00700B75" w:rsidRPr="00333C39" w:rsidRDefault="00700B75" w:rsidP="00333C39">
            <w:pPr>
              <w:ind w:left="34" w:right="34"/>
              <w:jc w:val="both"/>
              <w:rPr>
                <w:rFonts w:ascii="Tahoma" w:hAnsi="Tahoma"/>
                <w:b/>
                <w:bCs/>
                <w:lang w:val="en-US"/>
              </w:rPr>
            </w:pPr>
          </w:p>
          <w:p w:rsidR="00700B75" w:rsidRPr="00333C39" w:rsidRDefault="00700B75" w:rsidP="00333C39">
            <w:pPr>
              <w:jc w:val="both"/>
              <w:rPr>
                <w:rFonts w:ascii="Tahoma" w:hAnsi="Tahoma"/>
                <w:bCs/>
              </w:rPr>
            </w:pPr>
            <w:r w:rsidRPr="00333C39">
              <w:rPr>
                <w:rFonts w:ascii="Tahoma" w:hAnsi="Tahoma"/>
                <w:b/>
                <w:bCs/>
              </w:rPr>
              <w:t>Индустриското производство</w:t>
            </w:r>
            <w:r w:rsidRPr="00333C39">
              <w:rPr>
                <w:rFonts w:ascii="Tahoma" w:hAnsi="Tahoma"/>
                <w:bCs/>
              </w:rPr>
              <w:t xml:space="preserve"> продолжи да расте во вториот квартал со релативно висока годишна стапка од 5,5%...</w:t>
            </w:r>
          </w:p>
          <w:p w:rsidR="00700B75" w:rsidRPr="00333C39" w:rsidRDefault="00700B75" w:rsidP="00333C39">
            <w:pPr>
              <w:jc w:val="both"/>
              <w:rPr>
                <w:rFonts w:ascii="Tahoma" w:hAnsi="Tahoma"/>
                <w:bCs/>
              </w:rPr>
            </w:pPr>
          </w:p>
          <w:p w:rsidR="00700B75" w:rsidRPr="00333C39" w:rsidRDefault="00700B75" w:rsidP="004B5747">
            <w:pPr>
              <w:ind w:left="34" w:right="34"/>
              <w:jc w:val="both"/>
              <w:rPr>
                <w:rFonts w:ascii="Tahoma" w:hAnsi="Tahoma"/>
                <w:szCs w:val="22"/>
              </w:rPr>
            </w:pPr>
            <w:r w:rsidRPr="00333C39">
              <w:rPr>
                <w:rFonts w:ascii="Tahoma" w:hAnsi="Tahoma"/>
                <w:bCs/>
              </w:rPr>
              <w:t>...под влијание на зголеменото производство на машини и уреди, моторни возила, производи од гума и пластични маси, како и на електрична опрема</w:t>
            </w:r>
            <w:r w:rsidR="00AE7D89">
              <w:rPr>
                <w:rFonts w:ascii="Tahoma" w:hAnsi="Tahoma"/>
                <w:bCs/>
              </w:rPr>
              <w:t>,</w:t>
            </w:r>
            <w:r w:rsidRPr="00333C39">
              <w:rPr>
                <w:rFonts w:ascii="Tahoma" w:hAnsi="Tahoma"/>
                <w:bCs/>
              </w:rPr>
              <w:t xml:space="preserve"> што во голем дел е одраз на </w:t>
            </w:r>
            <w:proofErr w:type="spellStart"/>
            <w:r w:rsidRPr="00333C39">
              <w:rPr>
                <w:rFonts w:ascii="Tahoma" w:hAnsi="Tahoma"/>
                <w:bCs/>
              </w:rPr>
              <w:t>растечкото</w:t>
            </w:r>
            <w:proofErr w:type="spellEnd"/>
            <w:r w:rsidRPr="00333C39">
              <w:rPr>
                <w:rFonts w:ascii="Tahoma" w:hAnsi="Tahoma"/>
                <w:bCs/>
              </w:rPr>
              <w:t xml:space="preserve"> производство на капацитетите во </w:t>
            </w:r>
            <w:proofErr w:type="spellStart"/>
            <w:r w:rsidRPr="00333C39">
              <w:rPr>
                <w:rFonts w:ascii="Tahoma" w:hAnsi="Tahoma"/>
                <w:bCs/>
              </w:rPr>
              <w:t>технолошко-индустриските</w:t>
            </w:r>
            <w:proofErr w:type="spellEnd"/>
            <w:r w:rsidRPr="00333C39">
              <w:rPr>
                <w:rFonts w:ascii="Tahoma" w:hAnsi="Tahoma"/>
                <w:bCs/>
              </w:rPr>
              <w:t xml:space="preserve"> развојни зони...</w:t>
            </w:r>
          </w:p>
        </w:tc>
      </w:tr>
      <w:tr w:rsidR="00700B75" w:rsidRPr="00B0241C" w:rsidTr="00CA2696">
        <w:trPr>
          <w:trHeight w:val="702"/>
        </w:trPr>
        <w:tc>
          <w:tcPr>
            <w:tcW w:w="6268" w:type="dxa"/>
          </w:tcPr>
          <w:p w:rsidR="00700B75" w:rsidRDefault="00700B75" w:rsidP="00757D05">
            <w:pPr>
              <w:rPr>
                <w:rFonts w:ascii="Tahoma" w:hAnsi="Tahoma"/>
                <w:sz w:val="18"/>
                <w:szCs w:val="18"/>
                <w:highlight w:val="yellow"/>
              </w:rPr>
            </w:pPr>
          </w:p>
          <w:p w:rsidR="00700B75" w:rsidRDefault="00700B75" w:rsidP="00757D05">
            <w:pPr>
              <w:rPr>
                <w:rFonts w:ascii="Tahoma" w:hAnsi="Tahoma"/>
                <w:sz w:val="18"/>
                <w:szCs w:val="18"/>
                <w:highlight w:val="yellow"/>
              </w:rPr>
            </w:pPr>
          </w:p>
          <w:p w:rsidR="00700B75" w:rsidRDefault="00700B75" w:rsidP="00757D05">
            <w:pPr>
              <w:rPr>
                <w:rFonts w:ascii="Tahoma" w:hAnsi="Tahoma"/>
                <w:sz w:val="18"/>
                <w:szCs w:val="18"/>
                <w:highlight w:val="yellow"/>
              </w:rPr>
            </w:pPr>
          </w:p>
          <w:p w:rsidR="00700B75" w:rsidRDefault="00700B75" w:rsidP="00757D05">
            <w:pPr>
              <w:rPr>
                <w:rFonts w:ascii="Tahoma" w:hAnsi="Tahoma"/>
                <w:sz w:val="18"/>
                <w:szCs w:val="18"/>
                <w:highlight w:val="yellow"/>
              </w:rPr>
            </w:pPr>
          </w:p>
          <w:p w:rsidR="00700B75" w:rsidRDefault="00700B75" w:rsidP="00757D05">
            <w:pPr>
              <w:rPr>
                <w:rFonts w:ascii="Tahoma" w:hAnsi="Tahoma"/>
                <w:sz w:val="18"/>
                <w:szCs w:val="18"/>
                <w:highlight w:val="yellow"/>
              </w:rPr>
            </w:pPr>
          </w:p>
          <w:p w:rsidR="00700B75" w:rsidRDefault="004B5747" w:rsidP="00B35F92">
            <w:pPr>
              <w:rPr>
                <w:rFonts w:ascii="Tahoma" w:hAnsi="Tahoma"/>
                <w:sz w:val="18"/>
                <w:szCs w:val="18"/>
                <w:highlight w:val="yellow"/>
              </w:rPr>
            </w:pPr>
            <w:r>
              <w:rPr>
                <w:rFonts w:ascii="Tahoma" w:hAnsi="Tahoma"/>
                <w:b/>
                <w:noProof/>
                <w:sz w:val="18"/>
                <w:szCs w:val="18"/>
                <w:lang w:val="en-US"/>
              </w:rPr>
              <w:drawing>
                <wp:inline distT="0" distB="0" distL="0" distR="0">
                  <wp:extent cx="3888105" cy="2774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8105" cy="2774950"/>
                          </a:xfrm>
                          <a:prstGeom prst="rect">
                            <a:avLst/>
                          </a:prstGeom>
                          <a:noFill/>
                          <a:ln>
                            <a:noFill/>
                          </a:ln>
                        </pic:spPr>
                      </pic:pic>
                    </a:graphicData>
                  </a:graphic>
                </wp:inline>
              </w:drawing>
            </w:r>
          </w:p>
        </w:tc>
        <w:tc>
          <w:tcPr>
            <w:tcW w:w="4472" w:type="dxa"/>
            <w:vAlign w:val="center"/>
          </w:tcPr>
          <w:p w:rsidR="00700B75" w:rsidRDefault="00700B75" w:rsidP="00333C39">
            <w:pPr>
              <w:ind w:left="34" w:right="34"/>
              <w:jc w:val="both"/>
              <w:rPr>
                <w:rFonts w:ascii="Tahoma" w:hAnsi="Tahoma"/>
                <w:bCs/>
              </w:rPr>
            </w:pPr>
          </w:p>
          <w:p w:rsidR="00700B75" w:rsidRPr="00333C39" w:rsidRDefault="00700B75" w:rsidP="00333C39">
            <w:pPr>
              <w:ind w:left="34" w:right="34"/>
              <w:jc w:val="both"/>
              <w:rPr>
                <w:rFonts w:ascii="Tahoma" w:hAnsi="Tahoma"/>
                <w:bCs/>
              </w:rPr>
            </w:pPr>
            <w:r w:rsidRPr="00333C39">
              <w:rPr>
                <w:rFonts w:ascii="Tahoma" w:hAnsi="Tahoma"/>
                <w:bCs/>
              </w:rPr>
              <w:t>...а дополнителен позитивен придонес има и растот на производството на облека и зголеменото ископување на јаглен и лигнит.</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Притоа,</w:t>
            </w:r>
            <w:r w:rsidRPr="00333C39">
              <w:rPr>
                <w:rFonts w:ascii="Tahoma" w:hAnsi="Tahoma"/>
                <w:bCs/>
                <w:lang w:val="en-US"/>
              </w:rPr>
              <w:t xml:space="preserve"> </w:t>
            </w:r>
            <w:r w:rsidRPr="00333C39">
              <w:rPr>
                <w:rFonts w:ascii="Tahoma" w:hAnsi="Tahoma"/>
                <w:bCs/>
              </w:rPr>
              <w:t>годишниот раст на индустријата е побрз во однос на растот во претходното тримесечје, при зголемување на искористеноста на капацитетите во преработувачката индустрија</w:t>
            </w:r>
            <w:r w:rsidRPr="00333C39">
              <w:rPr>
                <w:rFonts w:ascii="Tahoma" w:hAnsi="Tahoma"/>
                <w:bCs/>
                <w:vertAlign w:val="superscript"/>
              </w:rPr>
              <w:footnoteReference w:id="8"/>
            </w:r>
            <w:r w:rsidRPr="00333C39">
              <w:rPr>
                <w:rFonts w:ascii="Tahoma" w:hAnsi="Tahoma"/>
                <w:bCs/>
              </w:rPr>
              <w:t>.</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 xml:space="preserve">Поволни придвижувања се забележуваат и во секторот </w:t>
            </w:r>
            <w:r w:rsidRPr="00333C39">
              <w:rPr>
                <w:rFonts w:ascii="Tahoma" w:hAnsi="Tahoma"/>
                <w:b/>
                <w:bCs/>
              </w:rPr>
              <w:t xml:space="preserve">трговија, </w:t>
            </w:r>
            <w:r w:rsidRPr="00333C39">
              <w:rPr>
                <w:rFonts w:ascii="Tahoma" w:hAnsi="Tahoma"/>
                <w:bCs/>
              </w:rPr>
              <w:t xml:space="preserve"> којшто бележи забрзан раст во првите два месеца од вториот квартал, што во целост произлегува од растот кај трговијата на големо при годишен пад на трговијата на мало.</w:t>
            </w:r>
          </w:p>
          <w:p w:rsidR="00700B75" w:rsidRPr="00333C39" w:rsidRDefault="00700B75" w:rsidP="00333C39">
            <w:pPr>
              <w:jc w:val="both"/>
              <w:rPr>
                <w:rFonts w:ascii="Tahoma" w:hAnsi="Tahoma"/>
                <w:b/>
                <w:bCs/>
              </w:rPr>
            </w:pPr>
          </w:p>
          <w:p w:rsidR="00700B75" w:rsidRPr="00333C39" w:rsidRDefault="00700B75" w:rsidP="00333C39">
            <w:pPr>
              <w:jc w:val="both"/>
              <w:rPr>
                <w:rFonts w:ascii="Tahoma" w:hAnsi="Tahoma"/>
                <w:bCs/>
              </w:rPr>
            </w:pPr>
            <w:r w:rsidRPr="00333C39">
              <w:rPr>
                <w:rFonts w:ascii="Tahoma" w:hAnsi="Tahoma"/>
                <w:bCs/>
              </w:rPr>
              <w:t xml:space="preserve">Активноста кај </w:t>
            </w:r>
            <w:r w:rsidRPr="00333C39">
              <w:rPr>
                <w:rFonts w:ascii="Tahoma" w:hAnsi="Tahoma"/>
                <w:b/>
                <w:bCs/>
              </w:rPr>
              <w:t xml:space="preserve">градежниот сектор </w:t>
            </w:r>
            <w:r w:rsidRPr="00333C39">
              <w:rPr>
                <w:rFonts w:ascii="Tahoma" w:hAnsi="Tahoma"/>
                <w:bCs/>
              </w:rPr>
              <w:t>продолжи да расте и</w:t>
            </w:r>
            <w:r w:rsidRPr="00333C39">
              <w:rPr>
                <w:rFonts w:ascii="Tahoma" w:hAnsi="Tahoma"/>
                <w:b/>
                <w:bCs/>
              </w:rPr>
              <w:t xml:space="preserve"> </w:t>
            </w:r>
            <w:r w:rsidRPr="00333C39">
              <w:rPr>
                <w:rFonts w:ascii="Tahoma" w:hAnsi="Tahoma"/>
                <w:bCs/>
              </w:rPr>
              <w:t>во првите два месеца на вториот квартал, но со побавно темпо на реален годишен раст (4,7%), наспроти двоцифрените стапки на раст во претходните седум квартали.</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lang w:val="en-US"/>
              </w:rPr>
            </w:pPr>
            <w:r w:rsidRPr="00333C39">
              <w:rPr>
                <w:rFonts w:ascii="Tahoma" w:hAnsi="Tahoma"/>
                <w:bCs/>
              </w:rPr>
              <w:t xml:space="preserve">Во позитивна насока се и остварувањата кај </w:t>
            </w:r>
            <w:r w:rsidRPr="00333C39">
              <w:rPr>
                <w:rFonts w:ascii="Tahoma" w:hAnsi="Tahoma"/>
                <w:b/>
                <w:bCs/>
              </w:rPr>
              <w:t>прометот во угостителството</w:t>
            </w:r>
            <w:r w:rsidRPr="00333C39">
              <w:rPr>
                <w:rFonts w:ascii="Tahoma" w:hAnsi="Tahoma"/>
                <w:bCs/>
              </w:rPr>
              <w:t xml:space="preserve"> во првите два месеца на вториот квартал на 2014 година...</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
                <w:bCs/>
              </w:rPr>
            </w:pPr>
            <w:r w:rsidRPr="00333C39">
              <w:rPr>
                <w:rFonts w:ascii="Tahoma" w:hAnsi="Tahoma"/>
                <w:bCs/>
              </w:rPr>
              <w:t xml:space="preserve">...додека високофреквентните податоци за </w:t>
            </w:r>
            <w:r w:rsidRPr="00333C39">
              <w:rPr>
                <w:rFonts w:ascii="Tahoma" w:hAnsi="Tahoma"/>
                <w:b/>
                <w:bCs/>
              </w:rPr>
              <w:t>транспортот</w:t>
            </w:r>
            <w:r w:rsidRPr="00333C39">
              <w:rPr>
                <w:rFonts w:ascii="Tahoma" w:hAnsi="Tahoma"/>
                <w:bCs/>
              </w:rPr>
              <w:t xml:space="preserve">  упатуваат на надолни движења, наспроти високиот раст во претходниот квартал.</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
                <w:bCs/>
              </w:rPr>
            </w:pPr>
            <w:r w:rsidRPr="00333C39">
              <w:rPr>
                <w:rFonts w:ascii="Tahoma" w:hAnsi="Tahoma"/>
                <w:b/>
                <w:bCs/>
              </w:rPr>
              <w:t>Расположливите показатели за агрегатната побарувачка</w:t>
            </w:r>
            <w:r w:rsidR="00CD06D7">
              <w:rPr>
                <w:rFonts w:ascii="Tahoma" w:hAnsi="Tahoma"/>
                <w:b/>
                <w:bCs/>
              </w:rPr>
              <w:t>,</w:t>
            </w:r>
            <w:r w:rsidRPr="00333C39">
              <w:rPr>
                <w:rFonts w:ascii="Tahoma" w:hAnsi="Tahoma"/>
                <w:b/>
                <w:bCs/>
              </w:rPr>
              <w:t xml:space="preserve"> исто така</w:t>
            </w:r>
            <w:r w:rsidR="00CD06D7">
              <w:rPr>
                <w:rFonts w:ascii="Tahoma" w:hAnsi="Tahoma"/>
                <w:b/>
                <w:bCs/>
              </w:rPr>
              <w:t>,</w:t>
            </w:r>
            <w:r w:rsidRPr="00333C39">
              <w:rPr>
                <w:rFonts w:ascii="Tahoma" w:hAnsi="Tahoma"/>
                <w:b/>
                <w:bCs/>
              </w:rPr>
              <w:t xml:space="preserve"> упатуваат на раст на економијата во вториот квартал на 2014 година, што е во согласност со очекувањата од априлската проекција.</w:t>
            </w:r>
          </w:p>
          <w:p w:rsidR="00700B75" w:rsidRPr="00333C39" w:rsidRDefault="00700B75" w:rsidP="00333C39">
            <w:pPr>
              <w:jc w:val="both"/>
              <w:rPr>
                <w:rFonts w:ascii="Tahoma" w:hAnsi="Tahoma"/>
                <w:b/>
                <w:bCs/>
              </w:rPr>
            </w:pPr>
          </w:p>
          <w:p w:rsidR="00700B75" w:rsidRPr="00333C39" w:rsidRDefault="00700B75" w:rsidP="00333C39">
            <w:pPr>
              <w:jc w:val="both"/>
              <w:rPr>
                <w:rFonts w:ascii="Tahoma" w:hAnsi="Tahoma"/>
                <w:bCs/>
              </w:rPr>
            </w:pPr>
            <w:r w:rsidRPr="00333C39">
              <w:rPr>
                <w:rFonts w:ascii="Tahoma" w:hAnsi="Tahoma"/>
                <w:bCs/>
              </w:rPr>
              <w:t>Показателите за</w:t>
            </w:r>
            <w:r w:rsidRPr="00333C39">
              <w:rPr>
                <w:rFonts w:ascii="Tahoma" w:hAnsi="Tahoma"/>
                <w:b/>
                <w:bCs/>
              </w:rPr>
              <w:t xml:space="preserve"> личната потрошувачка се поволни и </w:t>
            </w:r>
            <w:r w:rsidRPr="00333C39">
              <w:rPr>
                <w:rFonts w:ascii="Tahoma" w:hAnsi="Tahoma"/>
                <w:bCs/>
              </w:rPr>
              <w:t>упатуваат на нејзино зголемување во вториот квартал...</w:t>
            </w:r>
          </w:p>
          <w:p w:rsidR="00700B75" w:rsidRPr="00A57112" w:rsidRDefault="00700B75" w:rsidP="00333C39">
            <w:pPr>
              <w:jc w:val="both"/>
              <w:rPr>
                <w:rFonts w:ascii="Tahoma" w:hAnsi="Tahoma"/>
                <w:bCs/>
                <w:lang w:val="en-US"/>
              </w:rPr>
            </w:pPr>
          </w:p>
          <w:p w:rsidR="00700B75" w:rsidRPr="00333C39" w:rsidRDefault="00700B75" w:rsidP="00333C39">
            <w:pPr>
              <w:ind w:left="34" w:right="34"/>
              <w:jc w:val="both"/>
              <w:rPr>
                <w:rFonts w:ascii="Tahoma" w:hAnsi="Tahoma"/>
                <w:szCs w:val="22"/>
              </w:rPr>
            </w:pPr>
            <w:r w:rsidRPr="00333C39">
              <w:rPr>
                <w:rFonts w:ascii="Tahoma" w:hAnsi="Tahoma"/>
                <w:bCs/>
              </w:rPr>
              <w:t>...како резултат на интензивирањето</w:t>
            </w:r>
          </w:p>
        </w:tc>
      </w:tr>
      <w:tr w:rsidR="00700B75" w:rsidRPr="00B0241C" w:rsidTr="00CA2696">
        <w:trPr>
          <w:trHeight w:val="702"/>
        </w:trPr>
        <w:tc>
          <w:tcPr>
            <w:tcW w:w="6268" w:type="dxa"/>
          </w:tcPr>
          <w:p w:rsidR="001B2BD8" w:rsidRDefault="001B2BD8" w:rsidP="00687F96">
            <w:pPr>
              <w:rPr>
                <w:rFonts w:ascii="Tahoma" w:hAnsi="Tahoma"/>
                <w:noProof/>
                <w:sz w:val="18"/>
                <w:szCs w:val="18"/>
              </w:rPr>
            </w:pPr>
          </w:p>
          <w:p w:rsidR="001B2BD8" w:rsidRDefault="001B2BD8" w:rsidP="00687F96">
            <w:pPr>
              <w:rPr>
                <w:rFonts w:ascii="Tahoma" w:hAnsi="Tahoma"/>
                <w:noProof/>
                <w:sz w:val="18"/>
                <w:szCs w:val="18"/>
              </w:rPr>
            </w:pP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4B5747" w:rsidP="00687F96">
            <w:pPr>
              <w:rPr>
                <w:rFonts w:ascii="Tahoma" w:hAnsi="Tahoma"/>
                <w:b/>
                <w:sz w:val="18"/>
                <w:szCs w:val="18"/>
                <w:highlight w:val="yellow"/>
              </w:rPr>
            </w:pPr>
            <w:r w:rsidRPr="00A0788A">
              <w:rPr>
                <w:rFonts w:ascii="Tahoma" w:hAnsi="Tahoma"/>
                <w:noProof/>
                <w:sz w:val="18"/>
                <w:szCs w:val="18"/>
                <w:lang w:val="en-US"/>
              </w:rPr>
              <w:drawing>
                <wp:inline distT="0" distB="0" distL="0" distR="0">
                  <wp:extent cx="3889375" cy="28594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9375" cy="2859405"/>
                          </a:xfrm>
                          <a:prstGeom prst="rect">
                            <a:avLst/>
                          </a:prstGeom>
                          <a:noFill/>
                          <a:ln>
                            <a:noFill/>
                          </a:ln>
                        </pic:spPr>
                      </pic:pic>
                    </a:graphicData>
                  </a:graphic>
                </wp:inline>
              </w:drawing>
            </w: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700B75" w:rsidP="00B35F92">
            <w:pPr>
              <w:rPr>
                <w:rFonts w:ascii="Tahoma" w:hAnsi="Tahoma"/>
                <w:sz w:val="18"/>
                <w:szCs w:val="18"/>
                <w:highlight w:val="yellow"/>
              </w:rPr>
            </w:pPr>
          </w:p>
        </w:tc>
        <w:tc>
          <w:tcPr>
            <w:tcW w:w="4472" w:type="dxa"/>
            <w:vAlign w:val="center"/>
          </w:tcPr>
          <w:p w:rsidR="00700B75" w:rsidRPr="00333C39" w:rsidRDefault="00700B75" w:rsidP="00333C39">
            <w:pPr>
              <w:jc w:val="both"/>
              <w:rPr>
                <w:rFonts w:ascii="Tahoma" w:hAnsi="Tahoma"/>
                <w:bCs/>
              </w:rPr>
            </w:pPr>
            <w:r w:rsidRPr="00333C39">
              <w:rPr>
                <w:rFonts w:ascii="Tahoma" w:hAnsi="Tahoma"/>
                <w:bCs/>
              </w:rPr>
              <w:t xml:space="preserve">на кредитната активност кон секторот </w:t>
            </w:r>
            <w:r w:rsidR="00CD06D7">
              <w:rPr>
                <w:rFonts w:ascii="Tahoma" w:hAnsi="Tahoma"/>
                <w:bCs/>
              </w:rPr>
              <w:t>„</w:t>
            </w:r>
            <w:r w:rsidRPr="00333C39">
              <w:rPr>
                <w:rFonts w:ascii="Tahoma" w:hAnsi="Tahoma"/>
                <w:bCs/>
              </w:rPr>
              <w:t>население</w:t>
            </w:r>
            <w:r w:rsidR="00CD06D7">
              <w:rPr>
                <w:rFonts w:ascii="Tahoma" w:hAnsi="Tahoma"/>
                <w:bCs/>
              </w:rPr>
              <w:t>“</w:t>
            </w:r>
            <w:r w:rsidRPr="00333C39">
              <w:rPr>
                <w:rFonts w:ascii="Tahoma" w:hAnsi="Tahoma"/>
                <w:bCs/>
              </w:rPr>
              <w:t xml:space="preserve"> во вториот квартал...</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...продолжување на растот на пензиите (иако со забавена динамика), како и забележаниот раст кај реалните плати во април и мај...</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 xml:space="preserve">...а позитивни остварувања се присутни и кај домашното производство на стоки за широка потрошувачка и кај </w:t>
            </w:r>
            <w:proofErr w:type="spellStart"/>
            <w:r w:rsidRPr="00333C39">
              <w:rPr>
                <w:rFonts w:ascii="Tahoma" w:hAnsi="Tahoma"/>
                <w:bCs/>
              </w:rPr>
              <w:t>нето-приходите</w:t>
            </w:r>
            <w:proofErr w:type="spellEnd"/>
            <w:r w:rsidRPr="00333C39">
              <w:rPr>
                <w:rFonts w:ascii="Tahoma" w:hAnsi="Tahoma"/>
                <w:bCs/>
              </w:rPr>
              <w:t xml:space="preserve"> од ДДВ.</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Од друга страна, падот на трговијата на мало</w:t>
            </w:r>
            <w:r>
              <w:rPr>
                <w:rFonts w:ascii="Tahoma" w:hAnsi="Tahoma"/>
                <w:bCs/>
              </w:rPr>
              <w:t xml:space="preserve"> продолжи и во првите два месеца</w:t>
            </w:r>
            <w:r w:rsidRPr="00333C39">
              <w:rPr>
                <w:rFonts w:ascii="Tahoma" w:hAnsi="Tahoma"/>
                <w:bCs/>
              </w:rPr>
              <w:t xml:space="preserve"> од вториот квартал, иако со забавено темпо...</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...а намалување, со интензитет сличен како во претходниот квартал, е забележано кај приватните трансфери...</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 xml:space="preserve">...додека увозот на стоки за широка потрошувачка оствари минимален пад, наспроти растот на оваа категорија во претходниот квартал. </w:t>
            </w:r>
          </w:p>
          <w:p w:rsidR="00700B75" w:rsidRPr="00333C39" w:rsidRDefault="00700B75" w:rsidP="00333C39">
            <w:pPr>
              <w:ind w:left="34" w:right="34"/>
              <w:jc w:val="both"/>
              <w:rPr>
                <w:rFonts w:ascii="Tahoma" w:hAnsi="Tahoma"/>
                <w:szCs w:val="22"/>
              </w:rPr>
            </w:pPr>
          </w:p>
        </w:tc>
      </w:tr>
      <w:tr w:rsidR="00700B75" w:rsidRPr="00B0241C" w:rsidTr="00CA2696">
        <w:trPr>
          <w:trHeight w:val="702"/>
        </w:trPr>
        <w:tc>
          <w:tcPr>
            <w:tcW w:w="6268" w:type="dxa"/>
          </w:tcPr>
          <w:p w:rsidR="001B2BD8" w:rsidRDefault="001B2BD8" w:rsidP="00687F96">
            <w:pPr>
              <w:rPr>
                <w:rFonts w:ascii="Tahoma" w:hAnsi="Tahoma"/>
                <w:noProof/>
                <w:sz w:val="18"/>
                <w:szCs w:val="18"/>
              </w:rPr>
            </w:pPr>
          </w:p>
          <w:p w:rsidR="001B2BD8" w:rsidRDefault="001B2BD8" w:rsidP="00687F96">
            <w:pPr>
              <w:rPr>
                <w:rFonts w:ascii="Tahoma" w:hAnsi="Tahoma"/>
                <w:noProof/>
                <w:sz w:val="18"/>
                <w:szCs w:val="18"/>
              </w:rPr>
            </w:pPr>
          </w:p>
          <w:p w:rsidR="001B2BD8" w:rsidRDefault="001B2BD8" w:rsidP="00687F96">
            <w:pPr>
              <w:rPr>
                <w:rFonts w:ascii="Tahoma" w:hAnsi="Tahoma"/>
                <w:noProof/>
                <w:sz w:val="18"/>
                <w:szCs w:val="18"/>
              </w:rPr>
            </w:pPr>
          </w:p>
          <w:p w:rsidR="001B2BD8" w:rsidRDefault="001B2BD8" w:rsidP="00687F96">
            <w:pPr>
              <w:rPr>
                <w:rFonts w:ascii="Tahoma" w:hAnsi="Tahoma"/>
                <w:noProof/>
                <w:sz w:val="18"/>
                <w:szCs w:val="18"/>
              </w:rPr>
            </w:pPr>
          </w:p>
          <w:p w:rsidR="001B2BD8" w:rsidRDefault="001B2BD8" w:rsidP="00687F96">
            <w:pPr>
              <w:rPr>
                <w:rFonts w:ascii="Tahoma" w:hAnsi="Tahoma"/>
                <w:noProof/>
                <w:sz w:val="18"/>
                <w:szCs w:val="18"/>
              </w:rPr>
            </w:pPr>
          </w:p>
          <w:p w:rsidR="00700B75" w:rsidRDefault="00700B75" w:rsidP="00687F96">
            <w:pPr>
              <w:rPr>
                <w:rFonts w:ascii="Tahoma" w:hAnsi="Tahoma"/>
                <w:b/>
                <w:sz w:val="18"/>
                <w:szCs w:val="18"/>
                <w:highlight w:val="yellow"/>
              </w:rPr>
            </w:pPr>
            <w:r>
              <w:rPr>
                <w:rFonts w:ascii="Tahoma" w:hAnsi="Tahoma"/>
                <w:noProof/>
                <w:sz w:val="18"/>
                <w:szCs w:val="18"/>
                <w:lang w:val="en-US"/>
              </w:rPr>
              <w:drawing>
                <wp:inline distT="0" distB="0" distL="0" distR="0">
                  <wp:extent cx="3888105" cy="27990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8105" cy="2799080"/>
                          </a:xfrm>
                          <a:prstGeom prst="rect">
                            <a:avLst/>
                          </a:prstGeom>
                          <a:noFill/>
                          <a:ln>
                            <a:noFill/>
                          </a:ln>
                        </pic:spPr>
                      </pic:pic>
                    </a:graphicData>
                  </a:graphic>
                </wp:inline>
              </w:drawing>
            </w: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700B75" w:rsidP="00687F96">
            <w:pPr>
              <w:rPr>
                <w:rFonts w:ascii="Tahoma" w:hAnsi="Tahoma"/>
                <w:b/>
                <w:sz w:val="18"/>
                <w:szCs w:val="18"/>
                <w:highlight w:val="yellow"/>
              </w:rPr>
            </w:pPr>
          </w:p>
          <w:p w:rsidR="00700B75" w:rsidRDefault="00700B75" w:rsidP="00B35F92">
            <w:pPr>
              <w:rPr>
                <w:rFonts w:ascii="Tahoma" w:hAnsi="Tahoma"/>
                <w:sz w:val="18"/>
                <w:szCs w:val="18"/>
                <w:highlight w:val="yellow"/>
              </w:rPr>
            </w:pPr>
          </w:p>
        </w:tc>
        <w:tc>
          <w:tcPr>
            <w:tcW w:w="4472" w:type="dxa"/>
            <w:vAlign w:val="center"/>
          </w:tcPr>
          <w:p w:rsidR="00700B75" w:rsidRPr="00333C39" w:rsidRDefault="00700B75" w:rsidP="00333C39">
            <w:pPr>
              <w:jc w:val="both"/>
              <w:rPr>
                <w:rFonts w:ascii="Tahoma" w:hAnsi="Tahoma"/>
                <w:bCs/>
              </w:rPr>
            </w:pPr>
            <w:r w:rsidRPr="00333C39">
              <w:rPr>
                <w:rFonts w:ascii="Tahoma" w:hAnsi="Tahoma"/>
                <w:bCs/>
              </w:rPr>
              <w:t>Како кај личната потрошувачка, и  најновите показатели за</w:t>
            </w:r>
            <w:r w:rsidRPr="00333C39">
              <w:rPr>
                <w:rFonts w:ascii="Tahoma" w:hAnsi="Tahoma"/>
                <w:b/>
                <w:bCs/>
              </w:rPr>
              <w:t xml:space="preserve"> инвестициската активност</w:t>
            </w:r>
            <w:r w:rsidRPr="00333C39">
              <w:rPr>
                <w:rFonts w:ascii="Tahoma" w:hAnsi="Tahoma"/>
                <w:bCs/>
              </w:rPr>
              <w:t xml:space="preserve"> упатуваат на раст во вториот квартал... </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...при забрзување на растот на домашното производство на капитални добра и на долгорочното кредитирање на домашниот корпоративен сектор во вториот квартал од годината...</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...како и раст на увозот на стоки за инвестиции и градежната активност во првите два месеца од вториот квартал (иако со побавно темпо во споредба со претходниот квартал)...</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Pr>
                <w:rFonts w:ascii="Tahoma" w:hAnsi="Tahoma"/>
                <w:bCs/>
              </w:rPr>
              <w:t>...</w:t>
            </w:r>
            <w:r w:rsidRPr="00333C39">
              <w:rPr>
                <w:rFonts w:ascii="Tahoma" w:hAnsi="Tahoma"/>
                <w:bCs/>
              </w:rPr>
              <w:t>продолжување на растот на расходите на државата за капитални инвестиции...</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...а поволни поместувања бележат и приливите од странски директни инвестиции</w:t>
            </w:r>
            <w:r>
              <w:rPr>
                <w:rFonts w:ascii="Tahoma" w:hAnsi="Tahoma"/>
                <w:bCs/>
              </w:rPr>
              <w:t>,</w:t>
            </w:r>
            <w:r w:rsidRPr="00333C39">
              <w:rPr>
                <w:rFonts w:ascii="Tahoma" w:hAnsi="Tahoma"/>
                <w:bCs/>
              </w:rPr>
              <w:t xml:space="preserve"> кои</w:t>
            </w:r>
            <w:r>
              <w:rPr>
                <w:rFonts w:ascii="Tahoma" w:hAnsi="Tahoma"/>
                <w:bCs/>
              </w:rPr>
              <w:t xml:space="preserve">што </w:t>
            </w:r>
            <w:r w:rsidRPr="00333C39">
              <w:rPr>
                <w:rFonts w:ascii="Tahoma" w:hAnsi="Tahoma"/>
                <w:bCs/>
              </w:rPr>
              <w:t>бележат зголемување</w:t>
            </w:r>
            <w:r>
              <w:rPr>
                <w:rFonts w:ascii="Tahoma" w:hAnsi="Tahoma"/>
                <w:bCs/>
              </w:rPr>
              <w:t xml:space="preserve"> </w:t>
            </w:r>
            <w:r w:rsidRPr="00333C39">
              <w:rPr>
                <w:rFonts w:ascii="Tahoma" w:hAnsi="Tahoma"/>
                <w:bCs/>
              </w:rPr>
              <w:t>на годишна основа.</w:t>
            </w:r>
          </w:p>
          <w:p w:rsidR="00700B75" w:rsidRDefault="00700B75" w:rsidP="00333C39">
            <w:pPr>
              <w:jc w:val="both"/>
              <w:rPr>
                <w:rFonts w:ascii="Tahoma" w:hAnsi="Tahoma"/>
                <w:bCs/>
              </w:rPr>
            </w:pPr>
          </w:p>
          <w:p w:rsidR="00A40CE9" w:rsidRDefault="00A40CE9" w:rsidP="00333C39">
            <w:pPr>
              <w:jc w:val="both"/>
              <w:rPr>
                <w:rFonts w:ascii="Tahoma" w:hAnsi="Tahoma"/>
                <w:bCs/>
              </w:rPr>
            </w:pPr>
          </w:p>
          <w:p w:rsidR="00A40CE9" w:rsidRPr="00333C39" w:rsidRDefault="00A40CE9"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lastRenderedPageBreak/>
              <w:t xml:space="preserve">По проширувањето во првиот квартал, номиналните податоци за </w:t>
            </w:r>
            <w:r w:rsidRPr="00333C39">
              <w:rPr>
                <w:rFonts w:ascii="Tahoma" w:hAnsi="Tahoma"/>
                <w:b/>
                <w:bCs/>
              </w:rPr>
              <w:t>надворешнотрговската размена</w:t>
            </w:r>
            <w:r w:rsidRPr="00333C39">
              <w:rPr>
                <w:rFonts w:ascii="Tahoma" w:hAnsi="Tahoma"/>
                <w:b/>
                <w:sz w:val="32"/>
                <w:szCs w:val="32"/>
              </w:rPr>
              <w:t xml:space="preserve"> </w:t>
            </w:r>
            <w:r w:rsidRPr="00333C39">
              <w:rPr>
                <w:rFonts w:ascii="Tahoma" w:hAnsi="Tahoma"/>
                <w:bCs/>
              </w:rPr>
              <w:t xml:space="preserve">укажуваат на намалување на дефицитот во вториот квартал во однос на истиот период од претходната година... </w:t>
            </w:r>
          </w:p>
          <w:p w:rsidR="00700B75" w:rsidRPr="00333C39" w:rsidRDefault="00700B75" w:rsidP="00333C39">
            <w:pPr>
              <w:jc w:val="both"/>
              <w:rPr>
                <w:rFonts w:ascii="Tahoma" w:hAnsi="Tahoma"/>
                <w:bCs/>
              </w:rPr>
            </w:pPr>
          </w:p>
          <w:p w:rsidR="00700B75" w:rsidRPr="00333C39" w:rsidRDefault="00700B75" w:rsidP="00333C39">
            <w:pPr>
              <w:ind w:left="34" w:right="34"/>
              <w:jc w:val="both"/>
              <w:rPr>
                <w:rFonts w:ascii="Tahoma" w:hAnsi="Tahoma"/>
                <w:bCs/>
              </w:rPr>
            </w:pPr>
            <w:r w:rsidRPr="00333C39">
              <w:rPr>
                <w:rFonts w:ascii="Tahoma" w:hAnsi="Tahoma"/>
                <w:bCs/>
              </w:rPr>
              <w:t xml:space="preserve">...согласно </w:t>
            </w:r>
            <w:r w:rsidR="00CD06D7">
              <w:rPr>
                <w:rFonts w:ascii="Tahoma" w:hAnsi="Tahoma"/>
                <w:bCs/>
              </w:rPr>
              <w:t xml:space="preserve">со </w:t>
            </w:r>
            <w:r w:rsidRPr="00333C39">
              <w:rPr>
                <w:rFonts w:ascii="Tahoma" w:hAnsi="Tahoma"/>
                <w:bCs/>
              </w:rPr>
              <w:t>очекувањата од априлската проекција за номинално стеснување на трговското салдо.</w:t>
            </w:r>
          </w:p>
          <w:p w:rsidR="00700B75" w:rsidRPr="00333C39" w:rsidRDefault="00700B75" w:rsidP="00333C39">
            <w:pPr>
              <w:jc w:val="both"/>
              <w:rPr>
                <w:rFonts w:ascii="Tahoma" w:hAnsi="Tahoma"/>
                <w:bCs/>
              </w:rPr>
            </w:pPr>
          </w:p>
          <w:p w:rsidR="00700B75" w:rsidRPr="00333C39" w:rsidRDefault="00700B75" w:rsidP="00333C39">
            <w:pPr>
              <w:jc w:val="both"/>
              <w:rPr>
                <w:rFonts w:ascii="Tahoma" w:hAnsi="Tahoma"/>
                <w:bCs/>
              </w:rPr>
            </w:pPr>
            <w:r w:rsidRPr="00333C39">
              <w:rPr>
                <w:rFonts w:ascii="Tahoma" w:hAnsi="Tahoma"/>
                <w:bCs/>
              </w:rPr>
              <w:t xml:space="preserve">Буџетските остварувања за вториот квартал упатуваат на раст на </w:t>
            </w:r>
            <w:r w:rsidRPr="00333C39">
              <w:rPr>
                <w:rFonts w:ascii="Tahoma" w:hAnsi="Tahoma"/>
                <w:b/>
                <w:bCs/>
              </w:rPr>
              <w:t>јавната потрошувачка</w:t>
            </w:r>
            <w:r w:rsidRPr="00333C39">
              <w:rPr>
                <w:rFonts w:ascii="Tahoma" w:hAnsi="Tahoma"/>
                <w:bCs/>
              </w:rPr>
              <w:t xml:space="preserve">,  </w:t>
            </w:r>
            <w:r w:rsidR="00CD06D7">
              <w:rPr>
                <w:rFonts w:ascii="Tahoma" w:hAnsi="Tahoma"/>
                <w:bCs/>
              </w:rPr>
              <w:t xml:space="preserve">во </w:t>
            </w:r>
            <w:r w:rsidRPr="00333C39">
              <w:rPr>
                <w:rFonts w:ascii="Tahoma" w:hAnsi="Tahoma"/>
                <w:bCs/>
              </w:rPr>
              <w:t>согласно</w:t>
            </w:r>
            <w:r w:rsidR="00CD06D7">
              <w:rPr>
                <w:rFonts w:ascii="Tahoma" w:hAnsi="Tahoma"/>
                <w:bCs/>
              </w:rPr>
              <w:t>ст со</w:t>
            </w:r>
            <w:r w:rsidRPr="00333C39">
              <w:rPr>
                <w:rFonts w:ascii="Tahoma" w:hAnsi="Tahoma"/>
                <w:bCs/>
              </w:rPr>
              <w:t xml:space="preserve"> априлската проекција...</w:t>
            </w:r>
          </w:p>
          <w:p w:rsidR="00700B75" w:rsidRPr="00333C39" w:rsidRDefault="00700B75" w:rsidP="00333C39">
            <w:pPr>
              <w:jc w:val="both"/>
              <w:rPr>
                <w:rFonts w:ascii="Tahoma" w:hAnsi="Tahoma"/>
                <w:bCs/>
              </w:rPr>
            </w:pPr>
          </w:p>
          <w:p w:rsidR="00007100" w:rsidRDefault="00700B75" w:rsidP="00A57112">
            <w:pPr>
              <w:jc w:val="both"/>
              <w:rPr>
                <w:rFonts w:ascii="Tahoma" w:hAnsi="Tahoma"/>
                <w:szCs w:val="22"/>
              </w:rPr>
            </w:pPr>
            <w:r w:rsidRPr="00333C39">
              <w:rPr>
                <w:rFonts w:ascii="Tahoma" w:hAnsi="Tahoma"/>
                <w:bCs/>
              </w:rPr>
              <w:t>...при забележан раст на трансферите за здравствена заштита</w:t>
            </w:r>
            <w:r w:rsidR="00FF0635">
              <w:rPr>
                <w:rStyle w:val="FootnoteReference"/>
                <w:rFonts w:ascii="Tahoma" w:hAnsi="Tahoma"/>
                <w:bCs/>
              </w:rPr>
              <w:footnoteReference w:id="9"/>
            </w:r>
            <w:r w:rsidRPr="00333C39">
              <w:rPr>
                <w:rFonts w:ascii="Tahoma" w:hAnsi="Tahoma"/>
                <w:bCs/>
              </w:rPr>
              <w:t xml:space="preserve"> и на расходите за плати на годишна основа.</w:t>
            </w:r>
          </w:p>
        </w:tc>
      </w:tr>
    </w:tbl>
    <w:p w:rsidR="008675B3" w:rsidRDefault="008675B3">
      <w:r>
        <w:lastRenderedPageBreak/>
        <w:br w:type="page"/>
      </w:r>
    </w:p>
    <w:p w:rsidR="00FE41A9" w:rsidRPr="00432763" w:rsidRDefault="00FE41A9" w:rsidP="00FE41A9">
      <w:pPr>
        <w:rPr>
          <w:rFonts w:ascii="Tahoma" w:hAnsi="Tahoma"/>
          <w:b/>
          <w:sz w:val="18"/>
          <w:szCs w:val="18"/>
        </w:rPr>
        <w:sectPr w:rsidR="00FE41A9" w:rsidRPr="00432763" w:rsidSect="008210A8">
          <w:headerReference w:type="default" r:id="rId30"/>
          <w:pgSz w:w="11907" w:h="16839" w:code="9"/>
          <w:pgMar w:top="1265" w:right="1275" w:bottom="720" w:left="720" w:header="720" w:footer="720" w:gutter="0"/>
          <w:cols w:space="284"/>
          <w:docGrid w:linePitch="360"/>
        </w:sectPr>
      </w:pPr>
    </w:p>
    <w:tbl>
      <w:tblPr>
        <w:tblpPr w:leftFromText="180" w:rightFromText="180" w:horzAnchor="margin" w:tblpY="359"/>
        <w:tblW w:w="10668" w:type="dxa"/>
        <w:tblLayout w:type="fixed"/>
        <w:tblLook w:val="04A0"/>
      </w:tblPr>
      <w:tblGrid>
        <w:gridCol w:w="6268"/>
        <w:gridCol w:w="4400"/>
      </w:tblGrid>
      <w:tr w:rsidR="00272F1D" w:rsidRPr="006B5729" w:rsidTr="00A57112">
        <w:trPr>
          <w:trHeight w:val="996"/>
        </w:trPr>
        <w:tc>
          <w:tcPr>
            <w:tcW w:w="6268" w:type="dxa"/>
            <w:vAlign w:val="center"/>
          </w:tcPr>
          <w:p w:rsidR="00007100" w:rsidRDefault="004B5747" w:rsidP="00A57112">
            <w:pPr>
              <w:jc w:val="center"/>
              <w:rPr>
                <w:rFonts w:ascii="Tahoma" w:hAnsi="Tahoma"/>
                <w:sz w:val="18"/>
                <w:szCs w:val="18"/>
                <w:lang w:val="en-US"/>
              </w:rPr>
            </w:pPr>
            <w:r w:rsidRPr="00A57112">
              <w:rPr>
                <w:rFonts w:ascii="Tahoma" w:hAnsi="Tahoma"/>
                <w:noProof/>
                <w:sz w:val="18"/>
                <w:szCs w:val="18"/>
                <w:lang w:val="en-US"/>
              </w:rPr>
              <w:lastRenderedPageBreak/>
              <w:drawing>
                <wp:anchor distT="0" distB="0" distL="114300" distR="114300" simplePos="0" relativeHeight="251661312" behindDoc="0" locked="0" layoutInCell="1" allowOverlap="1">
                  <wp:simplePos x="0" y="0"/>
                  <wp:positionH relativeFrom="column">
                    <wp:posOffset>15240</wp:posOffset>
                  </wp:positionH>
                  <wp:positionV relativeFrom="paragraph">
                    <wp:posOffset>-2319655</wp:posOffset>
                  </wp:positionV>
                  <wp:extent cx="3838575" cy="232410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2324100"/>
                          </a:xfrm>
                          <a:prstGeom prst="rect">
                            <a:avLst/>
                          </a:prstGeom>
                          <a:noFill/>
                          <a:ln>
                            <a:noFill/>
                          </a:ln>
                        </pic:spPr>
                      </pic:pic>
                    </a:graphicData>
                  </a:graphic>
                </wp:anchor>
              </w:drawing>
            </w:r>
          </w:p>
          <w:p w:rsidR="00007100" w:rsidRDefault="00007100" w:rsidP="00A57112">
            <w:pPr>
              <w:jc w:val="center"/>
              <w:rPr>
                <w:rFonts w:ascii="Tahoma" w:hAnsi="Tahoma"/>
                <w:sz w:val="18"/>
                <w:szCs w:val="18"/>
                <w:lang w:val="en-US"/>
              </w:rPr>
            </w:pPr>
          </w:p>
          <w:p w:rsidR="00007100" w:rsidRDefault="00007100" w:rsidP="00A57112">
            <w:pPr>
              <w:jc w:val="center"/>
              <w:rPr>
                <w:rFonts w:ascii="Tahoma" w:hAnsi="Tahoma"/>
                <w:sz w:val="18"/>
                <w:szCs w:val="18"/>
                <w:lang w:val="en-US"/>
              </w:rPr>
            </w:pPr>
          </w:p>
          <w:p w:rsidR="00007100" w:rsidRPr="00A57112" w:rsidRDefault="00007100" w:rsidP="00A57112">
            <w:pPr>
              <w:jc w:val="center"/>
              <w:rPr>
                <w:rFonts w:ascii="Tahoma" w:hAnsi="Tahoma"/>
                <w:sz w:val="18"/>
                <w:szCs w:val="18"/>
                <w:lang w:val="en-US"/>
              </w:rPr>
            </w:pPr>
          </w:p>
        </w:tc>
        <w:tc>
          <w:tcPr>
            <w:tcW w:w="4400" w:type="dxa"/>
            <w:vAlign w:val="center"/>
          </w:tcPr>
          <w:p w:rsidR="00940EB5" w:rsidRDefault="00940EB5" w:rsidP="00B35F92">
            <w:pPr>
              <w:tabs>
                <w:tab w:val="left" w:pos="261"/>
              </w:tabs>
              <w:jc w:val="both"/>
              <w:rPr>
                <w:rFonts w:ascii="Tahoma" w:hAnsi="Tahoma"/>
                <w:szCs w:val="22"/>
                <w:lang w:val="en-US"/>
              </w:rPr>
            </w:pPr>
          </w:p>
          <w:p w:rsidR="00B35F92" w:rsidRPr="00B35F92" w:rsidRDefault="00B35F92" w:rsidP="00B35F92">
            <w:pPr>
              <w:tabs>
                <w:tab w:val="left" w:pos="261"/>
              </w:tabs>
              <w:jc w:val="both"/>
              <w:rPr>
                <w:rFonts w:ascii="Tahoma" w:hAnsi="Tahoma"/>
                <w:szCs w:val="22"/>
              </w:rPr>
            </w:pPr>
            <w:r w:rsidRPr="00B35F92">
              <w:rPr>
                <w:rFonts w:ascii="Tahoma" w:hAnsi="Tahoma"/>
                <w:szCs w:val="22"/>
              </w:rPr>
              <w:t xml:space="preserve">Во текот на второто тримесечје на 2014 година, </w:t>
            </w:r>
            <w:r w:rsidRPr="00B35F92">
              <w:rPr>
                <w:rFonts w:ascii="Tahoma" w:hAnsi="Tahoma"/>
                <w:b/>
                <w:szCs w:val="22"/>
              </w:rPr>
              <w:t>дефицитот во трговската размена со странство</w:t>
            </w:r>
            <w:r w:rsidRPr="00B35F92">
              <w:rPr>
                <w:rFonts w:ascii="Tahoma" w:hAnsi="Tahoma"/>
                <w:szCs w:val="22"/>
              </w:rPr>
              <w:t xml:space="preserve"> </w:t>
            </w:r>
            <w:r w:rsidRPr="00B35F92">
              <w:rPr>
                <w:rFonts w:ascii="Tahoma" w:hAnsi="Tahoma"/>
                <w:b/>
                <w:szCs w:val="22"/>
              </w:rPr>
              <w:t>се стесни за 8,6% на годишна основа</w:t>
            </w:r>
            <w:r w:rsidRPr="00B35F92">
              <w:rPr>
                <w:rFonts w:ascii="Tahoma" w:hAnsi="Tahoma"/>
                <w:szCs w:val="22"/>
              </w:rPr>
              <w:t xml:space="preserve">, како резултат на повисокиот раст на извозот во однос на растот на увозот на стоки... </w:t>
            </w:r>
          </w:p>
          <w:p w:rsidR="00B35F92" w:rsidRPr="00B35F92" w:rsidRDefault="00B35F92" w:rsidP="00B35F92">
            <w:pPr>
              <w:tabs>
                <w:tab w:val="left" w:pos="261"/>
              </w:tabs>
              <w:jc w:val="both"/>
              <w:rPr>
                <w:rFonts w:ascii="Tahoma" w:hAnsi="Tahoma"/>
                <w:szCs w:val="22"/>
              </w:rPr>
            </w:pPr>
          </w:p>
          <w:p w:rsidR="00B35F92" w:rsidRPr="00B35F92" w:rsidRDefault="00B35F92" w:rsidP="00B35F92">
            <w:pPr>
              <w:tabs>
                <w:tab w:val="left" w:pos="261"/>
              </w:tabs>
              <w:jc w:val="both"/>
              <w:rPr>
                <w:rFonts w:ascii="Tahoma" w:hAnsi="Tahoma"/>
                <w:szCs w:val="22"/>
              </w:rPr>
            </w:pPr>
            <w:r w:rsidRPr="00B35F92">
              <w:rPr>
                <w:rFonts w:ascii="Tahoma" w:hAnsi="Tahoma"/>
                <w:szCs w:val="22"/>
              </w:rPr>
              <w:t xml:space="preserve">...што претставува поголемо стеснување на трговскиот дефицит  во однос на очекувањата за вториот квартал, согласно </w:t>
            </w:r>
            <w:r w:rsidR="00B23189">
              <w:rPr>
                <w:rFonts w:ascii="Tahoma" w:hAnsi="Tahoma"/>
                <w:szCs w:val="22"/>
              </w:rPr>
              <w:t xml:space="preserve">со </w:t>
            </w:r>
            <w:r w:rsidRPr="00B35F92">
              <w:rPr>
                <w:rFonts w:ascii="Tahoma" w:hAnsi="Tahoma"/>
                <w:szCs w:val="22"/>
              </w:rPr>
              <w:t xml:space="preserve">априлската проекција.  </w:t>
            </w:r>
          </w:p>
          <w:p w:rsidR="00B35F92" w:rsidRPr="00B35F92" w:rsidRDefault="00B35F92" w:rsidP="00B35F92">
            <w:pPr>
              <w:tabs>
                <w:tab w:val="left" w:pos="261"/>
              </w:tabs>
              <w:jc w:val="both"/>
              <w:rPr>
                <w:rFonts w:ascii="Tahoma" w:hAnsi="Tahoma"/>
                <w:szCs w:val="22"/>
                <w:highlight w:val="lightGray"/>
                <w:lang w:val="en-US"/>
              </w:rPr>
            </w:pPr>
          </w:p>
          <w:p w:rsidR="00B35F92" w:rsidRPr="00B35F92" w:rsidRDefault="00B35F92" w:rsidP="00B35F92">
            <w:pPr>
              <w:tabs>
                <w:tab w:val="left" w:pos="261"/>
              </w:tabs>
              <w:jc w:val="both"/>
              <w:rPr>
                <w:rFonts w:ascii="Tahoma" w:hAnsi="Tahoma"/>
                <w:szCs w:val="22"/>
              </w:rPr>
            </w:pPr>
            <w:r w:rsidRPr="00B35F92">
              <w:rPr>
                <w:rFonts w:ascii="Tahoma" w:hAnsi="Tahoma"/>
                <w:b/>
                <w:szCs w:val="22"/>
              </w:rPr>
              <w:t>Извозот на стоки</w:t>
            </w:r>
            <w:r w:rsidRPr="00B35F92">
              <w:rPr>
                <w:rFonts w:ascii="Tahoma" w:hAnsi="Tahoma"/>
                <w:szCs w:val="22"/>
              </w:rPr>
              <w:t xml:space="preserve"> во вториот квартал оствари годишен раст од 12,6%, што во најголем дел произлегува од </w:t>
            </w:r>
            <w:r w:rsidR="00E550A1">
              <w:rPr>
                <w:rFonts w:ascii="Tahoma" w:hAnsi="Tahoma"/>
                <w:szCs w:val="22"/>
              </w:rPr>
              <w:t>засилената</w:t>
            </w:r>
            <w:r w:rsidR="00E550A1" w:rsidRPr="00B35F92">
              <w:rPr>
                <w:rFonts w:ascii="Tahoma" w:hAnsi="Tahoma"/>
                <w:szCs w:val="22"/>
              </w:rPr>
              <w:t xml:space="preserve"> </w:t>
            </w:r>
            <w:proofErr w:type="spellStart"/>
            <w:r w:rsidRPr="00B35F92">
              <w:rPr>
                <w:rFonts w:ascii="Tahoma" w:hAnsi="Tahoma"/>
                <w:szCs w:val="22"/>
              </w:rPr>
              <w:t>извозна</w:t>
            </w:r>
            <w:proofErr w:type="spellEnd"/>
            <w:r w:rsidRPr="00B35F92">
              <w:rPr>
                <w:rFonts w:ascii="Tahoma" w:hAnsi="Tahoma"/>
                <w:szCs w:val="22"/>
              </w:rPr>
              <w:t xml:space="preserve"> активност на новите индустриски капацитети ориентирани кон извоз</w:t>
            </w:r>
            <w:r w:rsidR="00E550A1">
              <w:rPr>
                <w:rFonts w:ascii="Tahoma" w:hAnsi="Tahoma"/>
                <w:szCs w:val="22"/>
              </w:rPr>
              <w:t>от</w:t>
            </w:r>
            <w:r w:rsidRPr="00B35F92">
              <w:rPr>
                <w:rFonts w:ascii="Tahoma" w:hAnsi="Tahoma"/>
                <w:szCs w:val="22"/>
              </w:rPr>
              <w:t xml:space="preserve">. Исто така, значаен позитивен придонес во годишниот раст има извозот на облека и текстил, а во помала мера малку повисокиот извоз на храна... </w:t>
            </w:r>
          </w:p>
          <w:p w:rsidR="00B35F92" w:rsidRPr="00B35F92" w:rsidRDefault="00B35F92" w:rsidP="00B35F92">
            <w:pPr>
              <w:tabs>
                <w:tab w:val="left" w:pos="261"/>
              </w:tabs>
              <w:jc w:val="both"/>
              <w:rPr>
                <w:rFonts w:ascii="Tahoma" w:hAnsi="Tahoma"/>
                <w:szCs w:val="22"/>
              </w:rPr>
            </w:pPr>
          </w:p>
          <w:p w:rsidR="00B35F92" w:rsidRPr="00B35F92" w:rsidRDefault="00B35F92" w:rsidP="00B35F92">
            <w:pPr>
              <w:tabs>
                <w:tab w:val="left" w:pos="261"/>
              </w:tabs>
              <w:jc w:val="both"/>
              <w:rPr>
                <w:rFonts w:ascii="Tahoma" w:hAnsi="Tahoma"/>
                <w:szCs w:val="22"/>
              </w:rPr>
            </w:pPr>
            <w:r w:rsidRPr="00B35F92">
              <w:rPr>
                <w:rFonts w:ascii="Tahoma" w:hAnsi="Tahoma"/>
                <w:szCs w:val="22"/>
              </w:rPr>
              <w:t>...додека падот на извозот на железото и челикот, енергијата и рудите, делува</w:t>
            </w:r>
            <w:r w:rsidR="0042741B">
              <w:rPr>
                <w:rFonts w:ascii="Tahoma" w:hAnsi="Tahoma"/>
                <w:szCs w:val="22"/>
              </w:rPr>
              <w:t>ше</w:t>
            </w:r>
            <w:r w:rsidRPr="00B35F92">
              <w:rPr>
                <w:rFonts w:ascii="Tahoma" w:hAnsi="Tahoma"/>
                <w:szCs w:val="22"/>
              </w:rPr>
              <w:t xml:space="preserve"> во спротивна насока. </w:t>
            </w:r>
          </w:p>
          <w:p w:rsidR="00B35F92" w:rsidRPr="00B35F92" w:rsidRDefault="00B35F92" w:rsidP="00B35F92">
            <w:pPr>
              <w:tabs>
                <w:tab w:val="left" w:pos="261"/>
              </w:tabs>
              <w:jc w:val="both"/>
              <w:rPr>
                <w:rFonts w:ascii="Tahoma" w:hAnsi="Tahoma"/>
                <w:i/>
                <w:szCs w:val="22"/>
              </w:rPr>
            </w:pPr>
          </w:p>
          <w:p w:rsidR="00FB2D9D" w:rsidRDefault="00B35F92" w:rsidP="00B35F92">
            <w:pPr>
              <w:jc w:val="both"/>
              <w:rPr>
                <w:rFonts w:ascii="Tahoma" w:hAnsi="Tahoma"/>
                <w:i/>
                <w:szCs w:val="22"/>
              </w:rPr>
            </w:pPr>
            <w:r w:rsidRPr="00B35F92">
              <w:rPr>
                <w:rFonts w:ascii="Tahoma" w:hAnsi="Tahoma"/>
                <w:i/>
                <w:szCs w:val="22"/>
              </w:rPr>
              <w:t>Во споредба со априлската проекција, извозот во вториот квартал е малку</w:t>
            </w:r>
          </w:p>
          <w:p w:rsidR="00272F1D" w:rsidRDefault="00B35F92" w:rsidP="00B35F92">
            <w:pPr>
              <w:jc w:val="both"/>
              <w:rPr>
                <w:rFonts w:ascii="Tahoma" w:hAnsi="Tahoma"/>
                <w:szCs w:val="22"/>
              </w:rPr>
            </w:pPr>
            <w:r w:rsidRPr="00B35F92">
              <w:rPr>
                <w:rFonts w:ascii="Tahoma" w:hAnsi="Tahoma"/>
                <w:i/>
                <w:szCs w:val="22"/>
              </w:rPr>
              <w:t xml:space="preserve">понизок од очекувањата, со </w:t>
            </w:r>
            <w:r w:rsidRPr="00B35F92">
              <w:rPr>
                <w:rFonts w:ascii="Tahoma" w:hAnsi="Tahoma"/>
                <w:szCs w:val="22"/>
              </w:rPr>
              <w:t xml:space="preserve">позначително надолно отстапувања кај извозот на железо и челик, додека </w:t>
            </w:r>
            <w:proofErr w:type="spellStart"/>
            <w:r w:rsidRPr="00B35F92">
              <w:rPr>
                <w:rFonts w:ascii="Tahoma" w:hAnsi="Tahoma"/>
                <w:szCs w:val="22"/>
              </w:rPr>
              <w:t>извозните</w:t>
            </w:r>
            <w:proofErr w:type="spellEnd"/>
            <w:r w:rsidRPr="00B35F92">
              <w:rPr>
                <w:rFonts w:ascii="Tahoma" w:hAnsi="Tahoma"/>
                <w:szCs w:val="22"/>
              </w:rPr>
              <w:t xml:space="preserve"> остварувања на новите капацитети во економијата и остварувањата на текстилната индустрија се повисоки од проектираните.</w:t>
            </w:r>
          </w:p>
          <w:p w:rsidR="00FB2D9D" w:rsidRPr="006B5729" w:rsidRDefault="00FB2D9D" w:rsidP="00B35F92">
            <w:pPr>
              <w:jc w:val="both"/>
              <w:rPr>
                <w:rFonts w:ascii="Tahoma" w:hAnsi="Tahoma"/>
              </w:rPr>
            </w:pPr>
          </w:p>
        </w:tc>
      </w:tr>
      <w:tr w:rsidR="00132D29" w:rsidRPr="006B5729" w:rsidTr="00A57112">
        <w:trPr>
          <w:trHeight w:val="996"/>
        </w:trPr>
        <w:tc>
          <w:tcPr>
            <w:tcW w:w="6268" w:type="dxa"/>
            <w:vAlign w:val="center"/>
          </w:tcPr>
          <w:p w:rsidR="00007100" w:rsidRDefault="00007100" w:rsidP="00A57112">
            <w:pPr>
              <w:jc w:val="center"/>
              <w:rPr>
                <w:rFonts w:ascii="Tahoma" w:hAnsi="Tahoma"/>
                <w:sz w:val="18"/>
                <w:szCs w:val="18"/>
              </w:rPr>
            </w:pPr>
          </w:p>
          <w:p w:rsidR="00007100" w:rsidRDefault="00D61982" w:rsidP="00A57112">
            <w:pPr>
              <w:jc w:val="center"/>
              <w:rPr>
                <w:rFonts w:ascii="Tahoma" w:hAnsi="Tahoma"/>
                <w:sz w:val="18"/>
                <w:szCs w:val="18"/>
              </w:rPr>
            </w:pPr>
            <w:r w:rsidRPr="00A57112">
              <w:rPr>
                <w:rFonts w:ascii="Tahoma" w:hAnsi="Tahoma"/>
                <w:noProof/>
                <w:sz w:val="18"/>
                <w:szCs w:val="18"/>
                <w:lang w:val="en-US"/>
              </w:rPr>
              <w:drawing>
                <wp:inline distT="0" distB="0" distL="0" distR="0">
                  <wp:extent cx="3838575" cy="2381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2381250"/>
                          </a:xfrm>
                          <a:prstGeom prst="rect">
                            <a:avLst/>
                          </a:prstGeom>
                          <a:noFill/>
                          <a:ln>
                            <a:noFill/>
                          </a:ln>
                        </pic:spPr>
                      </pic:pic>
                    </a:graphicData>
                  </a:graphic>
                </wp:inline>
              </w:drawing>
            </w:r>
          </w:p>
          <w:p w:rsidR="00007100" w:rsidRDefault="00007100" w:rsidP="00A57112">
            <w:pPr>
              <w:jc w:val="center"/>
              <w:rPr>
                <w:rFonts w:ascii="Tahoma" w:hAnsi="Tahoma"/>
                <w:sz w:val="18"/>
                <w:szCs w:val="18"/>
              </w:rPr>
            </w:pPr>
          </w:p>
          <w:p w:rsidR="00007100" w:rsidRDefault="00007100" w:rsidP="00A57112">
            <w:pPr>
              <w:jc w:val="center"/>
              <w:rPr>
                <w:rFonts w:ascii="Tahoma" w:hAnsi="Tahoma"/>
                <w:sz w:val="18"/>
                <w:szCs w:val="18"/>
              </w:rPr>
            </w:pPr>
          </w:p>
          <w:p w:rsidR="00007100" w:rsidRDefault="00007100" w:rsidP="00A57112">
            <w:pPr>
              <w:jc w:val="center"/>
              <w:rPr>
                <w:rFonts w:ascii="Tahoma" w:hAnsi="Tahoma"/>
                <w:sz w:val="18"/>
                <w:szCs w:val="18"/>
              </w:rPr>
            </w:pPr>
          </w:p>
          <w:p w:rsidR="00007100" w:rsidRDefault="00007100" w:rsidP="00A57112">
            <w:pPr>
              <w:jc w:val="center"/>
              <w:rPr>
                <w:rFonts w:ascii="Tahoma" w:hAnsi="Tahoma"/>
                <w:sz w:val="18"/>
                <w:szCs w:val="18"/>
              </w:rPr>
            </w:pPr>
          </w:p>
          <w:p w:rsidR="00007100" w:rsidRDefault="00007100" w:rsidP="00A57112">
            <w:pPr>
              <w:jc w:val="center"/>
              <w:rPr>
                <w:rFonts w:ascii="Tahoma" w:hAnsi="Tahoma"/>
                <w:sz w:val="18"/>
                <w:szCs w:val="18"/>
              </w:rPr>
            </w:pPr>
          </w:p>
        </w:tc>
        <w:tc>
          <w:tcPr>
            <w:tcW w:w="4400" w:type="dxa"/>
            <w:vAlign w:val="center"/>
          </w:tcPr>
          <w:p w:rsidR="00940EB5" w:rsidRDefault="00940EB5" w:rsidP="00B35F92">
            <w:pPr>
              <w:jc w:val="both"/>
              <w:rPr>
                <w:rFonts w:ascii="Tahoma" w:hAnsi="Tahoma"/>
                <w:b/>
                <w:lang w:val="en-US"/>
              </w:rPr>
            </w:pPr>
          </w:p>
          <w:p w:rsidR="004B5747" w:rsidRDefault="004B5747" w:rsidP="00B35F92">
            <w:pPr>
              <w:jc w:val="both"/>
              <w:rPr>
                <w:rFonts w:ascii="Tahoma" w:hAnsi="Tahoma"/>
                <w:b/>
              </w:rPr>
            </w:pPr>
          </w:p>
          <w:p w:rsidR="00B35F92" w:rsidRPr="00B35F92" w:rsidRDefault="00B35F92" w:rsidP="00B35F92">
            <w:pPr>
              <w:jc w:val="both"/>
              <w:rPr>
                <w:rFonts w:ascii="Tahoma" w:hAnsi="Tahoma"/>
              </w:rPr>
            </w:pPr>
            <w:r w:rsidRPr="00B35F92">
              <w:rPr>
                <w:rFonts w:ascii="Tahoma" w:hAnsi="Tahoma"/>
                <w:b/>
              </w:rPr>
              <w:t>Увозот на стоки,</w:t>
            </w:r>
            <w:r w:rsidRPr="00B35F92">
              <w:rPr>
                <w:rFonts w:ascii="Tahoma" w:hAnsi="Tahoma"/>
              </w:rPr>
              <w:t xml:space="preserve"> во вториот квартал бележи годишна стапка на раст од 4,7%, пред  сè</w:t>
            </w:r>
            <w:r w:rsidRPr="00B35F92" w:rsidDel="009A6A4C">
              <w:rPr>
                <w:rFonts w:ascii="Tahoma" w:hAnsi="Tahoma"/>
              </w:rPr>
              <w:t xml:space="preserve"> </w:t>
            </w:r>
            <w:r w:rsidR="0042741B">
              <w:rPr>
                <w:rFonts w:ascii="Tahoma" w:hAnsi="Tahoma"/>
              </w:rPr>
              <w:t>заради</w:t>
            </w:r>
            <w:r w:rsidRPr="00B35F92">
              <w:rPr>
                <w:rFonts w:ascii="Tahoma" w:hAnsi="Tahoma"/>
              </w:rPr>
              <w:t xml:space="preserve"> растот на суровинскиот увоз за новите </w:t>
            </w:r>
            <w:proofErr w:type="spellStart"/>
            <w:r w:rsidRPr="00B35F92">
              <w:rPr>
                <w:rFonts w:ascii="Tahoma" w:hAnsi="Tahoma"/>
              </w:rPr>
              <w:t>извозни</w:t>
            </w:r>
            <w:proofErr w:type="spellEnd"/>
            <w:r w:rsidRPr="00B35F92">
              <w:rPr>
                <w:rFonts w:ascii="Tahoma" w:hAnsi="Tahoma"/>
              </w:rPr>
              <w:t xml:space="preserve"> капацитети. Дополнително, кон годишниот раст на увозот придонесоа и повисокиот суровински увоз за текстилната индустрија, увозот на возила и на стоки за широка потрошувачка...   </w:t>
            </w:r>
          </w:p>
          <w:p w:rsidR="00B35F92" w:rsidRDefault="00B35F92" w:rsidP="00B35F92">
            <w:pPr>
              <w:jc w:val="both"/>
              <w:rPr>
                <w:rFonts w:ascii="Tahoma" w:hAnsi="Tahoma"/>
              </w:rPr>
            </w:pPr>
          </w:p>
          <w:p w:rsidR="004B5747" w:rsidRDefault="004B5747" w:rsidP="00B35F92">
            <w:pPr>
              <w:jc w:val="both"/>
              <w:rPr>
                <w:rFonts w:ascii="Tahoma" w:hAnsi="Tahoma"/>
              </w:rPr>
            </w:pPr>
          </w:p>
          <w:p w:rsidR="004B5747" w:rsidRDefault="004B5747" w:rsidP="00B35F92">
            <w:pPr>
              <w:jc w:val="both"/>
              <w:rPr>
                <w:rFonts w:ascii="Tahoma" w:hAnsi="Tahoma"/>
              </w:rPr>
            </w:pPr>
          </w:p>
          <w:p w:rsidR="004B5747" w:rsidRPr="00B35F92" w:rsidRDefault="004B5747" w:rsidP="00B35F92">
            <w:pPr>
              <w:jc w:val="both"/>
              <w:rPr>
                <w:rFonts w:ascii="Tahoma" w:hAnsi="Tahoma"/>
              </w:rPr>
            </w:pPr>
          </w:p>
          <w:p w:rsidR="00B35F92" w:rsidRPr="00B35F92" w:rsidRDefault="00B35F92" w:rsidP="00B35F92">
            <w:pPr>
              <w:jc w:val="both"/>
              <w:rPr>
                <w:rFonts w:ascii="Tahoma" w:hAnsi="Tahoma"/>
              </w:rPr>
            </w:pPr>
            <w:r w:rsidRPr="00B35F92">
              <w:rPr>
                <w:rFonts w:ascii="Tahoma" w:hAnsi="Tahoma"/>
              </w:rPr>
              <w:t>...додека годишен пад бележат увозот на храна, руди и енергија.</w:t>
            </w:r>
          </w:p>
          <w:p w:rsidR="00940EB5" w:rsidRDefault="00940EB5" w:rsidP="00B35F92">
            <w:pPr>
              <w:jc w:val="both"/>
              <w:rPr>
                <w:rFonts w:ascii="Tahoma" w:hAnsi="Tahoma"/>
                <w:i/>
              </w:rPr>
            </w:pPr>
          </w:p>
          <w:p w:rsidR="00B35F92" w:rsidRPr="00B35F92" w:rsidRDefault="00B35F92" w:rsidP="00B35F92">
            <w:pPr>
              <w:jc w:val="both"/>
              <w:rPr>
                <w:rFonts w:ascii="Tahoma" w:hAnsi="Tahoma"/>
              </w:rPr>
            </w:pPr>
            <w:r w:rsidRPr="00B35F92">
              <w:rPr>
                <w:rFonts w:ascii="Tahoma" w:hAnsi="Tahoma"/>
                <w:i/>
              </w:rPr>
              <w:t>Остварениот увоз во вториот квартал е помал во однос на проектираниот, со</w:t>
            </w:r>
            <w:r w:rsidRPr="00B35F92">
              <w:rPr>
                <w:rFonts w:ascii="Tahoma" w:hAnsi="Tahoma"/>
              </w:rPr>
              <w:t xml:space="preserve"> најголемо негативно отстапување кај останатиот увоз, храната и рудите. Од друга страна, увозот на возила, стоки за широка потрошувачка и енергетскиот увоз е малку поголем од очекувањата.</w:t>
            </w:r>
          </w:p>
          <w:p w:rsidR="00132D29" w:rsidRPr="006B5729" w:rsidRDefault="00132D29" w:rsidP="00272F1D">
            <w:pPr>
              <w:jc w:val="both"/>
              <w:rPr>
                <w:rFonts w:ascii="Tahoma" w:hAnsi="Tahoma"/>
              </w:rPr>
            </w:pPr>
          </w:p>
        </w:tc>
      </w:tr>
      <w:tr w:rsidR="00132D29" w:rsidRPr="006B5729" w:rsidTr="00CA2696">
        <w:trPr>
          <w:trHeight w:val="996"/>
        </w:trPr>
        <w:tc>
          <w:tcPr>
            <w:tcW w:w="6268" w:type="dxa"/>
          </w:tcPr>
          <w:p w:rsidR="00132D29" w:rsidRPr="006B5729" w:rsidRDefault="00132D29" w:rsidP="00CA2696">
            <w:pPr>
              <w:rPr>
                <w:rFonts w:ascii="Tahoma" w:hAnsi="Tahoma"/>
                <w:sz w:val="18"/>
                <w:szCs w:val="18"/>
              </w:rPr>
            </w:pPr>
          </w:p>
        </w:tc>
        <w:tc>
          <w:tcPr>
            <w:tcW w:w="4400" w:type="dxa"/>
            <w:vAlign w:val="center"/>
          </w:tcPr>
          <w:p w:rsidR="00B35F92" w:rsidRPr="00B35F92" w:rsidRDefault="00B35F92" w:rsidP="00B35F92">
            <w:pPr>
              <w:jc w:val="both"/>
              <w:rPr>
                <w:rFonts w:ascii="Tahoma" w:hAnsi="Tahoma"/>
                <w:b/>
              </w:rPr>
            </w:pPr>
            <w:r w:rsidRPr="00B35F92">
              <w:rPr>
                <w:rFonts w:ascii="Tahoma" w:hAnsi="Tahoma"/>
                <w:b/>
              </w:rPr>
              <w:t>Помалите надолни отстапувања кај извозот во однос на надолните отстапувања на увозната страна во вториот квартал од годината, доведоа до реализирање на понизок трговски дефицит во однос на проектираниот за ова тримесечје.</w:t>
            </w:r>
          </w:p>
          <w:p w:rsidR="00B35F92" w:rsidRPr="00B35F92" w:rsidRDefault="00B35F92" w:rsidP="00B35F92">
            <w:pPr>
              <w:jc w:val="both"/>
              <w:rPr>
                <w:rFonts w:ascii="Tahoma" w:hAnsi="Tahoma"/>
                <w:b/>
              </w:rPr>
            </w:pPr>
          </w:p>
          <w:p w:rsidR="00B35F92" w:rsidRPr="00B35F92" w:rsidRDefault="00B35F92" w:rsidP="00B35F92">
            <w:pPr>
              <w:jc w:val="both"/>
              <w:rPr>
                <w:rFonts w:ascii="Tahoma" w:hAnsi="Tahoma"/>
                <w:lang w:val="en-US"/>
              </w:rPr>
            </w:pPr>
            <w:r w:rsidRPr="00B35F92">
              <w:rPr>
                <w:rFonts w:ascii="Tahoma" w:hAnsi="Tahoma"/>
              </w:rPr>
              <w:t>Последните оцени за движењето на светските берзански цени на бакарот и никелот укажуваат на поповолна конјунктура во тековната и наредната година споредено со априлската проекција. Од друга страна, кај цените на суровата нафта изразени во евра, очекувањата се понеповолни, при оценки за помал годишен пад на цените во 2014 година во однос на проектираниот, како и раст, наместо пад за 2015 година.</w:t>
            </w:r>
          </w:p>
          <w:p w:rsidR="00132D29" w:rsidRPr="006B5729" w:rsidRDefault="00132D29" w:rsidP="00272F1D">
            <w:pPr>
              <w:jc w:val="both"/>
              <w:rPr>
                <w:rFonts w:ascii="Tahoma" w:hAnsi="Tahoma"/>
              </w:rPr>
            </w:pPr>
          </w:p>
        </w:tc>
      </w:tr>
      <w:tr w:rsidR="00132D29" w:rsidRPr="006B5729" w:rsidTr="00A57112">
        <w:trPr>
          <w:trHeight w:val="996"/>
        </w:trPr>
        <w:tc>
          <w:tcPr>
            <w:tcW w:w="6268" w:type="dxa"/>
            <w:vAlign w:val="center"/>
          </w:tcPr>
          <w:p w:rsidR="00007100" w:rsidRDefault="00007100" w:rsidP="00A57112">
            <w:pPr>
              <w:jc w:val="center"/>
              <w:rPr>
                <w:rFonts w:ascii="Tahoma" w:hAnsi="Tahoma"/>
                <w:noProof/>
                <w:sz w:val="18"/>
                <w:szCs w:val="18"/>
              </w:rPr>
            </w:pPr>
          </w:p>
          <w:p w:rsidR="00007100" w:rsidRDefault="00007100" w:rsidP="00A57112">
            <w:pPr>
              <w:jc w:val="center"/>
              <w:rPr>
                <w:rFonts w:ascii="Tahoma" w:hAnsi="Tahoma"/>
                <w:noProof/>
                <w:sz w:val="18"/>
                <w:szCs w:val="18"/>
              </w:rPr>
            </w:pPr>
          </w:p>
          <w:p w:rsidR="00007100" w:rsidRDefault="00B35F92" w:rsidP="00A57112">
            <w:pPr>
              <w:jc w:val="center"/>
              <w:rPr>
                <w:rFonts w:ascii="Tahoma" w:hAnsi="Tahoma"/>
                <w:sz w:val="18"/>
                <w:szCs w:val="18"/>
              </w:rPr>
            </w:pPr>
            <w:r>
              <w:rPr>
                <w:rFonts w:ascii="Tahoma" w:hAnsi="Tahoma"/>
                <w:noProof/>
                <w:sz w:val="18"/>
                <w:szCs w:val="18"/>
                <w:lang w:val="en-US"/>
              </w:rPr>
              <w:drawing>
                <wp:inline distT="0" distB="0" distL="0" distR="0">
                  <wp:extent cx="3835730" cy="220881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2742" cy="2212848"/>
                          </a:xfrm>
                          <a:prstGeom prst="rect">
                            <a:avLst/>
                          </a:prstGeom>
                          <a:noFill/>
                          <a:ln>
                            <a:noFill/>
                          </a:ln>
                        </pic:spPr>
                      </pic:pic>
                    </a:graphicData>
                  </a:graphic>
                </wp:inline>
              </w:drawing>
            </w:r>
          </w:p>
        </w:tc>
        <w:tc>
          <w:tcPr>
            <w:tcW w:w="4400" w:type="dxa"/>
            <w:vAlign w:val="center"/>
          </w:tcPr>
          <w:p w:rsidR="00132D29" w:rsidRPr="006B5729" w:rsidRDefault="00B35F92" w:rsidP="000E1136">
            <w:pPr>
              <w:jc w:val="both"/>
              <w:rPr>
                <w:rFonts w:ascii="Tahoma" w:hAnsi="Tahoma"/>
              </w:rPr>
            </w:pPr>
            <w:r w:rsidRPr="00442B2E">
              <w:rPr>
                <w:rFonts w:ascii="Tahoma" w:hAnsi="Tahoma"/>
                <w:b/>
              </w:rPr>
              <w:t xml:space="preserve">Во јуни 2014 година, показателите на </w:t>
            </w:r>
            <w:proofErr w:type="spellStart"/>
            <w:r w:rsidRPr="00442B2E">
              <w:rPr>
                <w:rFonts w:ascii="Tahoma" w:hAnsi="Tahoma"/>
                <w:b/>
              </w:rPr>
              <w:t>ценовната</w:t>
            </w:r>
            <w:proofErr w:type="spellEnd"/>
            <w:r w:rsidRPr="00442B2E">
              <w:rPr>
                <w:rFonts w:ascii="Tahoma" w:hAnsi="Tahoma"/>
                <w:b/>
              </w:rPr>
              <w:t xml:space="preserve"> конкурентност на домашната економија </w:t>
            </w:r>
            <w:r>
              <w:rPr>
                <w:rFonts w:ascii="Tahoma" w:hAnsi="Tahoma"/>
                <w:b/>
              </w:rPr>
              <w:t>не остварија</w:t>
            </w:r>
            <w:r w:rsidRPr="00442B2E">
              <w:rPr>
                <w:rFonts w:ascii="Tahoma" w:hAnsi="Tahoma"/>
                <w:b/>
              </w:rPr>
              <w:t xml:space="preserve"> </w:t>
            </w:r>
            <w:r>
              <w:rPr>
                <w:rFonts w:ascii="Tahoma" w:hAnsi="Tahoma"/>
                <w:b/>
              </w:rPr>
              <w:t>значајни промени во однос на истиот период од претходната година</w:t>
            </w:r>
            <w:r w:rsidRPr="00442B2E">
              <w:rPr>
                <w:rFonts w:ascii="Tahoma" w:hAnsi="Tahoma"/>
                <w:b/>
              </w:rPr>
              <w:t>.</w:t>
            </w:r>
            <w:r>
              <w:rPr>
                <w:rFonts w:ascii="Tahoma" w:hAnsi="Tahoma"/>
              </w:rPr>
              <w:t xml:space="preserve"> Притоа промените кај двата индекса се во спротивна насока. Индексот на РЕДК пресметан според трошоците на живот по подолг временски период упатува на подобрена конкурентност забележувајќи депрецијација од 0,6% на годишна основа. Од друга страна,  РЕДК </w:t>
            </w:r>
            <w:proofErr w:type="spellStart"/>
            <w:r>
              <w:rPr>
                <w:rFonts w:ascii="Tahoma" w:hAnsi="Tahoma"/>
              </w:rPr>
              <w:t>дефлациониран</w:t>
            </w:r>
            <w:proofErr w:type="spellEnd"/>
            <w:r>
              <w:rPr>
                <w:rFonts w:ascii="Tahoma" w:hAnsi="Tahoma"/>
              </w:rPr>
              <w:t xml:space="preserve"> според цените на производителите на индустриски производи</w:t>
            </w:r>
            <w:r w:rsidR="009615EE">
              <w:rPr>
                <w:rFonts w:ascii="Tahoma" w:hAnsi="Tahoma"/>
              </w:rPr>
              <w:t xml:space="preserve"> </w:t>
            </w:r>
            <w:proofErr w:type="spellStart"/>
            <w:r w:rsidR="009615EE">
              <w:rPr>
                <w:rFonts w:ascii="Tahoma" w:hAnsi="Tahoma"/>
              </w:rPr>
              <w:t>апрецира</w:t>
            </w:r>
            <w:proofErr w:type="spellEnd"/>
            <w:r w:rsidR="009615EE">
              <w:rPr>
                <w:rFonts w:ascii="Tahoma" w:hAnsi="Tahoma"/>
              </w:rPr>
              <w:t xml:space="preserve"> за 0,2%. Со тоа</w:t>
            </w:r>
            <w:r w:rsidR="007A3F5D">
              <w:rPr>
                <w:rFonts w:ascii="Tahoma" w:hAnsi="Tahoma"/>
              </w:rPr>
              <w:t>,</w:t>
            </w:r>
            <w:r w:rsidR="009615EE">
              <w:rPr>
                <w:rFonts w:ascii="Tahoma" w:hAnsi="Tahoma"/>
              </w:rPr>
              <w:t xml:space="preserve"> трендот на негова апрецијација,</w:t>
            </w:r>
            <w:r>
              <w:rPr>
                <w:rFonts w:ascii="Tahoma" w:hAnsi="Tahoma"/>
              </w:rPr>
              <w:t xml:space="preserve"> карактеристичен за првата половина од годината</w:t>
            </w:r>
            <w:r w:rsidR="007A3F5D">
              <w:rPr>
                <w:rFonts w:ascii="Tahoma" w:hAnsi="Tahoma"/>
              </w:rPr>
              <w:t xml:space="preserve"> </w:t>
            </w:r>
            <w:r w:rsidR="009615EE">
              <w:rPr>
                <w:rFonts w:ascii="Tahoma" w:hAnsi="Tahoma"/>
              </w:rPr>
              <w:t>продолжи</w:t>
            </w:r>
            <w:r w:rsidR="007A3F5D">
              <w:rPr>
                <w:rFonts w:ascii="Tahoma" w:hAnsi="Tahoma"/>
              </w:rPr>
              <w:t xml:space="preserve">, </w:t>
            </w:r>
            <w:r>
              <w:rPr>
                <w:rFonts w:ascii="Tahoma" w:hAnsi="Tahoma"/>
              </w:rPr>
              <w:t xml:space="preserve">но </w:t>
            </w:r>
            <w:r w:rsidR="009615EE">
              <w:rPr>
                <w:rFonts w:ascii="Tahoma" w:hAnsi="Tahoma"/>
              </w:rPr>
              <w:t>со значително забавена динамика.</w:t>
            </w:r>
            <w:r>
              <w:rPr>
                <w:rFonts w:ascii="Tahoma" w:hAnsi="Tahoma"/>
              </w:rPr>
              <w:t xml:space="preserve"> </w:t>
            </w:r>
          </w:p>
        </w:tc>
      </w:tr>
      <w:tr w:rsidR="00132D29" w:rsidRPr="006B5729" w:rsidTr="00A57112">
        <w:trPr>
          <w:trHeight w:val="996"/>
        </w:trPr>
        <w:tc>
          <w:tcPr>
            <w:tcW w:w="6268" w:type="dxa"/>
            <w:vAlign w:val="center"/>
          </w:tcPr>
          <w:p w:rsidR="00007100" w:rsidRDefault="00B35F92" w:rsidP="00A57112">
            <w:pPr>
              <w:jc w:val="center"/>
              <w:rPr>
                <w:rFonts w:ascii="Tahoma" w:hAnsi="Tahoma"/>
                <w:sz w:val="18"/>
                <w:szCs w:val="18"/>
              </w:rPr>
            </w:pPr>
            <w:r>
              <w:rPr>
                <w:rFonts w:ascii="Tahoma" w:hAnsi="Tahoma"/>
                <w:noProof/>
                <w:sz w:val="18"/>
                <w:szCs w:val="18"/>
                <w:lang w:val="en-US"/>
              </w:rPr>
              <w:lastRenderedPageBreak/>
              <w:drawing>
                <wp:inline distT="0" distB="0" distL="0" distR="0">
                  <wp:extent cx="3764478" cy="2196935"/>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6077" cy="2203704"/>
                          </a:xfrm>
                          <a:prstGeom prst="rect">
                            <a:avLst/>
                          </a:prstGeom>
                          <a:noFill/>
                          <a:ln>
                            <a:noFill/>
                          </a:ln>
                        </pic:spPr>
                      </pic:pic>
                    </a:graphicData>
                  </a:graphic>
                </wp:inline>
              </w:drawing>
            </w:r>
          </w:p>
        </w:tc>
        <w:tc>
          <w:tcPr>
            <w:tcW w:w="4400" w:type="dxa"/>
            <w:vAlign w:val="center"/>
          </w:tcPr>
          <w:p w:rsidR="00FB2D9D" w:rsidRDefault="00FB2D9D" w:rsidP="00B35F92">
            <w:pPr>
              <w:jc w:val="both"/>
              <w:rPr>
                <w:rFonts w:ascii="Tahoma" w:hAnsi="Tahoma"/>
              </w:rPr>
            </w:pPr>
          </w:p>
          <w:p w:rsidR="00B35F92" w:rsidRPr="00B35F92" w:rsidRDefault="00B35F92" w:rsidP="00B35F92">
            <w:pPr>
              <w:jc w:val="both"/>
              <w:rPr>
                <w:rFonts w:ascii="Tahoma" w:hAnsi="Tahoma"/>
                <w:highlight w:val="lightGray"/>
                <w:lang w:val="en-US"/>
              </w:rPr>
            </w:pPr>
            <w:r w:rsidRPr="00B35F92">
              <w:rPr>
                <w:rFonts w:ascii="Tahoma" w:hAnsi="Tahoma"/>
              </w:rPr>
              <w:t xml:space="preserve">Анализата на движењето на двата индекса на </w:t>
            </w:r>
            <w:r w:rsidRPr="00B35F92">
              <w:rPr>
                <w:rFonts w:ascii="Tahoma" w:hAnsi="Tahoma"/>
                <w:b/>
              </w:rPr>
              <w:t xml:space="preserve">РЕДК пресметани со </w:t>
            </w:r>
            <w:proofErr w:type="spellStart"/>
            <w:r w:rsidRPr="00B35F92">
              <w:rPr>
                <w:rFonts w:ascii="Tahoma" w:hAnsi="Tahoma"/>
                <w:b/>
              </w:rPr>
              <w:t>пондери</w:t>
            </w:r>
            <w:proofErr w:type="spellEnd"/>
            <w:r w:rsidRPr="00B35F92">
              <w:rPr>
                <w:rFonts w:ascii="Tahoma" w:hAnsi="Tahoma"/>
                <w:b/>
              </w:rPr>
              <w:t xml:space="preserve"> засновани на надворешнотрговската размена без примарни производи</w:t>
            </w:r>
            <w:r w:rsidRPr="00B35F92">
              <w:rPr>
                <w:rFonts w:ascii="Tahoma" w:hAnsi="Tahoma"/>
                <w:vertAlign w:val="superscript"/>
              </w:rPr>
              <w:footnoteReference w:id="10"/>
            </w:r>
            <w:r w:rsidRPr="00B35F92">
              <w:rPr>
                <w:rFonts w:ascii="Tahoma" w:hAnsi="Tahoma"/>
              </w:rPr>
              <w:t xml:space="preserve"> повторно не укажува на значајни годишни промени. Притоа, РЕДК </w:t>
            </w:r>
            <w:proofErr w:type="spellStart"/>
            <w:r w:rsidRPr="00B35F92">
              <w:rPr>
                <w:rFonts w:ascii="Tahoma" w:hAnsi="Tahoma"/>
              </w:rPr>
              <w:t>дефлациониран</w:t>
            </w:r>
            <w:proofErr w:type="spellEnd"/>
            <w:r w:rsidRPr="00B35F92">
              <w:rPr>
                <w:rFonts w:ascii="Tahoma" w:hAnsi="Tahoma"/>
              </w:rPr>
              <w:t xml:space="preserve"> со трошоците на живот не оствари промени во однос на истиот месец од претходната година, додека РЕДК пресметан според цените на индустриските производи </w:t>
            </w:r>
            <w:proofErr w:type="spellStart"/>
            <w:r w:rsidRPr="00B35F92">
              <w:rPr>
                <w:rFonts w:ascii="Tahoma" w:hAnsi="Tahoma"/>
              </w:rPr>
              <w:t>апрецира</w:t>
            </w:r>
            <w:proofErr w:type="spellEnd"/>
            <w:r w:rsidRPr="00B35F92">
              <w:rPr>
                <w:rFonts w:ascii="Tahoma" w:hAnsi="Tahoma"/>
              </w:rPr>
              <w:t xml:space="preserve"> за 0,1%.</w:t>
            </w:r>
          </w:p>
          <w:p w:rsidR="00132D29" w:rsidRPr="006B5729" w:rsidRDefault="00132D29" w:rsidP="00272F1D">
            <w:pPr>
              <w:jc w:val="both"/>
              <w:rPr>
                <w:rFonts w:ascii="Tahoma" w:hAnsi="Tahoma"/>
              </w:rPr>
            </w:pPr>
          </w:p>
        </w:tc>
      </w:tr>
      <w:tr w:rsidR="00132D29" w:rsidRPr="006B5729" w:rsidTr="00A57112">
        <w:trPr>
          <w:trHeight w:val="996"/>
        </w:trPr>
        <w:tc>
          <w:tcPr>
            <w:tcW w:w="6268" w:type="dxa"/>
            <w:vAlign w:val="center"/>
          </w:tcPr>
          <w:p w:rsidR="00007100" w:rsidRDefault="00FB2D9D" w:rsidP="00A57112">
            <w:pPr>
              <w:jc w:val="center"/>
              <w:rPr>
                <w:rFonts w:ascii="Tahoma" w:hAnsi="Tahoma"/>
                <w:sz w:val="18"/>
                <w:szCs w:val="18"/>
              </w:rPr>
            </w:pPr>
            <w:r>
              <w:rPr>
                <w:rFonts w:ascii="Tahoma" w:hAnsi="Tahoma"/>
                <w:noProof/>
                <w:sz w:val="18"/>
                <w:szCs w:val="18"/>
                <w:lang w:val="en-US"/>
              </w:rPr>
              <w:drawing>
                <wp:inline distT="0" distB="0" distL="0" distR="0">
                  <wp:extent cx="3764478" cy="219456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4478" cy="2194560"/>
                          </a:xfrm>
                          <a:prstGeom prst="rect">
                            <a:avLst/>
                          </a:prstGeom>
                          <a:noFill/>
                          <a:ln>
                            <a:noFill/>
                          </a:ln>
                        </pic:spPr>
                      </pic:pic>
                    </a:graphicData>
                  </a:graphic>
                </wp:inline>
              </w:drawing>
            </w:r>
          </w:p>
        </w:tc>
        <w:tc>
          <w:tcPr>
            <w:tcW w:w="4400" w:type="dxa"/>
            <w:vAlign w:val="center"/>
          </w:tcPr>
          <w:p w:rsidR="00FB2D9D" w:rsidRPr="00FB2D9D" w:rsidRDefault="00FB2D9D" w:rsidP="00FB2D9D">
            <w:pPr>
              <w:jc w:val="both"/>
              <w:rPr>
                <w:rFonts w:ascii="Tahoma" w:hAnsi="Tahoma"/>
                <w:b/>
                <w:highlight w:val="lightGray"/>
                <w:lang w:val="en-US"/>
              </w:rPr>
            </w:pPr>
            <w:r w:rsidRPr="00FB2D9D">
              <w:rPr>
                <w:rFonts w:ascii="Tahoma" w:hAnsi="Tahoma"/>
              </w:rPr>
              <w:t>Нагорни притисоци врз РЕДК предизвика апрецијацијата на номиналниот ефективен девизен курс на годишна основа (од 2,1%), предизвикана од изразената  депрецијација на украинската гривна,  руската рубља и турската лира во однос на денарот. Од друга страна, годишниот пад на домашните наспроти растот на странските цени забележан и кај трошоците за живот и кај домашните цени за индустриските производи, доведе до пад на релативните цени за 2,6% и 1,9%, соодветно.</w:t>
            </w:r>
            <w:r w:rsidRPr="00FB2D9D">
              <w:rPr>
                <w:rFonts w:ascii="Tahoma" w:hAnsi="Tahoma"/>
                <w:sz w:val="20"/>
                <w:szCs w:val="20"/>
              </w:rPr>
              <w:t xml:space="preserve"> </w:t>
            </w:r>
          </w:p>
          <w:p w:rsidR="00132D29" w:rsidRPr="006B5729" w:rsidRDefault="00132D29" w:rsidP="00272F1D">
            <w:pPr>
              <w:jc w:val="both"/>
              <w:rPr>
                <w:rFonts w:ascii="Tahoma" w:hAnsi="Tahoma"/>
              </w:rPr>
            </w:pPr>
          </w:p>
        </w:tc>
      </w:tr>
      <w:tr w:rsidR="00132D29" w:rsidRPr="006B5729" w:rsidTr="00A57112">
        <w:trPr>
          <w:trHeight w:val="996"/>
        </w:trPr>
        <w:tc>
          <w:tcPr>
            <w:tcW w:w="6268" w:type="dxa"/>
            <w:vAlign w:val="center"/>
          </w:tcPr>
          <w:p w:rsidR="00FB2D9D" w:rsidRDefault="00FB2D9D" w:rsidP="002C78A0">
            <w:pPr>
              <w:rPr>
                <w:rFonts w:ascii="Tahoma" w:hAnsi="Tahoma"/>
                <w:noProof/>
                <w:sz w:val="18"/>
                <w:szCs w:val="18"/>
              </w:rPr>
            </w:pPr>
          </w:p>
          <w:p w:rsidR="00FB2D9D" w:rsidRDefault="00FB2D9D" w:rsidP="00A76D82">
            <w:pPr>
              <w:rPr>
                <w:rFonts w:ascii="Tahoma" w:hAnsi="Tahoma"/>
                <w:noProof/>
                <w:sz w:val="18"/>
                <w:szCs w:val="18"/>
              </w:rPr>
            </w:pPr>
          </w:p>
          <w:p w:rsidR="00FB2D9D" w:rsidRDefault="00FB2D9D" w:rsidP="00A50833">
            <w:pPr>
              <w:rPr>
                <w:rFonts w:ascii="Tahoma" w:hAnsi="Tahoma"/>
                <w:noProof/>
                <w:sz w:val="18"/>
                <w:szCs w:val="18"/>
              </w:rPr>
            </w:pPr>
          </w:p>
          <w:p w:rsidR="00132D29" w:rsidRPr="006B5729" w:rsidRDefault="00FB2D9D" w:rsidP="00C36F27">
            <w:pPr>
              <w:rPr>
                <w:rFonts w:ascii="Tahoma" w:hAnsi="Tahoma"/>
                <w:sz w:val="18"/>
                <w:szCs w:val="18"/>
              </w:rPr>
            </w:pPr>
            <w:r>
              <w:rPr>
                <w:rFonts w:ascii="Tahoma" w:hAnsi="Tahoma"/>
                <w:noProof/>
                <w:sz w:val="18"/>
                <w:szCs w:val="18"/>
                <w:lang w:val="en-US"/>
              </w:rPr>
              <w:drawing>
                <wp:inline distT="0" distB="0" distL="0" distR="0">
                  <wp:extent cx="3788228" cy="2196935"/>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9900" cy="2203704"/>
                          </a:xfrm>
                          <a:prstGeom prst="rect">
                            <a:avLst/>
                          </a:prstGeom>
                          <a:noFill/>
                          <a:ln>
                            <a:noFill/>
                          </a:ln>
                        </pic:spPr>
                      </pic:pic>
                    </a:graphicData>
                  </a:graphic>
                </wp:inline>
              </w:drawing>
            </w:r>
          </w:p>
        </w:tc>
        <w:tc>
          <w:tcPr>
            <w:tcW w:w="4400" w:type="dxa"/>
            <w:vAlign w:val="center"/>
          </w:tcPr>
          <w:p w:rsidR="00FB2D9D" w:rsidRDefault="00FB2D9D" w:rsidP="00272F1D">
            <w:pPr>
              <w:jc w:val="both"/>
              <w:rPr>
                <w:rFonts w:ascii="Tahoma" w:hAnsi="Tahoma"/>
              </w:rPr>
            </w:pPr>
          </w:p>
          <w:p w:rsidR="00FB2D9D" w:rsidRDefault="00FB2D9D" w:rsidP="00272F1D">
            <w:pPr>
              <w:jc w:val="both"/>
              <w:rPr>
                <w:rFonts w:ascii="Tahoma" w:hAnsi="Tahoma"/>
              </w:rPr>
            </w:pPr>
          </w:p>
          <w:p w:rsidR="00132D29" w:rsidRDefault="00FB2D9D" w:rsidP="007A3F5D">
            <w:pPr>
              <w:jc w:val="both"/>
              <w:rPr>
                <w:rFonts w:ascii="Tahoma" w:hAnsi="Tahoma"/>
                <w:lang w:val="en-US"/>
              </w:rPr>
            </w:pPr>
            <w:r>
              <w:rPr>
                <w:rFonts w:ascii="Tahoma" w:hAnsi="Tahoma"/>
              </w:rPr>
              <w:t>Годишната промена</w:t>
            </w:r>
            <w:r w:rsidRPr="00E83BB3">
              <w:rPr>
                <w:rFonts w:ascii="Tahoma" w:hAnsi="Tahoma"/>
              </w:rPr>
              <w:t xml:space="preserve"> </w:t>
            </w:r>
            <w:r>
              <w:rPr>
                <w:rFonts w:ascii="Tahoma" w:hAnsi="Tahoma"/>
              </w:rPr>
              <w:t xml:space="preserve">на </w:t>
            </w:r>
            <w:r w:rsidRPr="00D061F8">
              <w:rPr>
                <w:rFonts w:ascii="Tahoma" w:hAnsi="Tahoma"/>
                <w:b/>
              </w:rPr>
              <w:t>РЕДК пресметан без примарни производи</w:t>
            </w:r>
            <w:r>
              <w:rPr>
                <w:rFonts w:ascii="Tahoma" w:hAnsi="Tahoma"/>
              </w:rPr>
              <w:t xml:space="preserve"> </w:t>
            </w:r>
            <w:r w:rsidR="0027757C">
              <w:rPr>
                <w:rFonts w:ascii="Tahoma" w:hAnsi="Tahoma"/>
              </w:rPr>
              <w:t>се должи на</w:t>
            </w:r>
            <w:r>
              <w:rPr>
                <w:rFonts w:ascii="Tahoma" w:hAnsi="Tahoma"/>
              </w:rPr>
              <w:t xml:space="preserve"> </w:t>
            </w:r>
            <w:r w:rsidRPr="00E83BB3">
              <w:rPr>
                <w:rFonts w:ascii="Tahoma" w:hAnsi="Tahoma"/>
              </w:rPr>
              <w:t xml:space="preserve"> апрецијацијата на номиналниот ефективен девизен курс (од 1,1%), условена од депрецијацијата на турската лира, српскиот динар и американскиот долар во однос на денарот</w:t>
            </w:r>
            <w:r w:rsidR="007A3F5D">
              <w:rPr>
                <w:rFonts w:ascii="Tahoma" w:hAnsi="Tahoma"/>
              </w:rPr>
              <w:t xml:space="preserve">, при поволни </w:t>
            </w:r>
            <w:r>
              <w:rPr>
                <w:rFonts w:ascii="Tahoma" w:hAnsi="Tahoma"/>
              </w:rPr>
              <w:t>промени кај</w:t>
            </w:r>
            <w:r w:rsidRPr="00E83BB3">
              <w:rPr>
                <w:rFonts w:ascii="Tahoma" w:hAnsi="Tahoma"/>
              </w:rPr>
              <w:t xml:space="preserve"> релативните цени</w:t>
            </w:r>
            <w:r w:rsidR="007A3F5D">
              <w:rPr>
                <w:rFonts w:ascii="Tahoma" w:hAnsi="Tahoma"/>
              </w:rPr>
              <w:t xml:space="preserve">. </w:t>
            </w:r>
            <w:r>
              <w:rPr>
                <w:rFonts w:ascii="Tahoma" w:hAnsi="Tahoma"/>
              </w:rPr>
              <w:t xml:space="preserve">Притоа релативните </w:t>
            </w:r>
            <w:r w:rsidRPr="00E83BB3">
              <w:rPr>
                <w:rFonts w:ascii="Tahoma" w:hAnsi="Tahoma"/>
              </w:rPr>
              <w:t xml:space="preserve">трошоци </w:t>
            </w:r>
            <w:r>
              <w:rPr>
                <w:rFonts w:ascii="Tahoma" w:hAnsi="Tahoma"/>
              </w:rPr>
              <w:t>н</w:t>
            </w:r>
            <w:r w:rsidRPr="00E83BB3">
              <w:rPr>
                <w:rFonts w:ascii="Tahoma" w:hAnsi="Tahoma"/>
              </w:rPr>
              <w:t xml:space="preserve">а живот </w:t>
            </w:r>
            <w:r>
              <w:rPr>
                <w:rFonts w:ascii="Tahoma" w:hAnsi="Tahoma"/>
              </w:rPr>
              <w:t>остварија годишен пад од</w:t>
            </w:r>
            <w:r w:rsidRPr="00E83BB3">
              <w:rPr>
                <w:rFonts w:ascii="Tahoma" w:hAnsi="Tahoma"/>
              </w:rPr>
              <w:t xml:space="preserve"> 1%</w:t>
            </w:r>
            <w:r>
              <w:rPr>
                <w:rFonts w:ascii="Tahoma" w:hAnsi="Tahoma"/>
              </w:rPr>
              <w:t>, а</w:t>
            </w:r>
            <w:r w:rsidRPr="00E83BB3">
              <w:rPr>
                <w:rFonts w:ascii="Tahoma" w:hAnsi="Tahoma"/>
              </w:rPr>
              <w:t xml:space="preserve"> </w:t>
            </w:r>
            <w:r>
              <w:rPr>
                <w:rFonts w:ascii="Tahoma" w:hAnsi="Tahoma"/>
              </w:rPr>
              <w:t xml:space="preserve">релативните </w:t>
            </w:r>
            <w:r w:rsidRPr="00E83BB3">
              <w:rPr>
                <w:rFonts w:ascii="Tahoma" w:hAnsi="Tahoma"/>
              </w:rPr>
              <w:t>цени на индустриските производи</w:t>
            </w:r>
            <w:r w:rsidR="0027757C">
              <w:rPr>
                <w:rFonts w:ascii="Tahoma" w:hAnsi="Tahoma"/>
              </w:rPr>
              <w:t>,</w:t>
            </w:r>
            <w:r w:rsidRPr="00E83BB3">
              <w:rPr>
                <w:rFonts w:ascii="Tahoma" w:hAnsi="Tahoma"/>
              </w:rPr>
              <w:t xml:space="preserve"> </w:t>
            </w:r>
            <w:r>
              <w:rPr>
                <w:rFonts w:ascii="Tahoma" w:hAnsi="Tahoma"/>
              </w:rPr>
              <w:t>пад од</w:t>
            </w:r>
            <w:r w:rsidRPr="00E83BB3">
              <w:rPr>
                <w:rFonts w:ascii="Tahoma" w:hAnsi="Tahoma"/>
              </w:rPr>
              <w:t xml:space="preserve"> 0,9%.</w:t>
            </w:r>
          </w:p>
          <w:p w:rsidR="00940EB5" w:rsidRPr="00A57112" w:rsidRDefault="00940EB5" w:rsidP="007A3F5D">
            <w:pPr>
              <w:jc w:val="both"/>
              <w:rPr>
                <w:rFonts w:ascii="Tahoma" w:hAnsi="Tahoma"/>
                <w:lang w:val="en-US"/>
              </w:rPr>
            </w:pPr>
          </w:p>
        </w:tc>
      </w:tr>
      <w:tr w:rsidR="00132D29" w:rsidRPr="006B5729" w:rsidTr="00CA2696">
        <w:trPr>
          <w:trHeight w:val="996"/>
        </w:trPr>
        <w:tc>
          <w:tcPr>
            <w:tcW w:w="6268" w:type="dxa"/>
          </w:tcPr>
          <w:p w:rsidR="00FB2D9D" w:rsidRDefault="00FB2D9D" w:rsidP="00CA2696">
            <w:pPr>
              <w:rPr>
                <w:rFonts w:ascii="Tahoma" w:hAnsi="Tahoma"/>
                <w:noProof/>
                <w:sz w:val="18"/>
                <w:szCs w:val="18"/>
              </w:rPr>
            </w:pPr>
          </w:p>
          <w:p w:rsidR="00FB2D9D" w:rsidRDefault="00FB2D9D" w:rsidP="00CA2696">
            <w:pPr>
              <w:rPr>
                <w:rFonts w:ascii="Tahoma" w:hAnsi="Tahoma"/>
                <w:noProof/>
                <w:sz w:val="18"/>
                <w:szCs w:val="18"/>
              </w:rPr>
            </w:pPr>
          </w:p>
          <w:p w:rsidR="00C36F27" w:rsidRDefault="00C36F27" w:rsidP="00CA2696">
            <w:pPr>
              <w:rPr>
                <w:rFonts w:ascii="Tahoma" w:hAnsi="Tahoma"/>
                <w:noProof/>
                <w:sz w:val="18"/>
                <w:szCs w:val="18"/>
                <w:lang w:val="en-US"/>
              </w:rPr>
            </w:pPr>
          </w:p>
          <w:p w:rsidR="00FB2D9D" w:rsidRDefault="00D61982" w:rsidP="00CA2696">
            <w:pPr>
              <w:rPr>
                <w:rFonts w:ascii="Tahoma" w:hAnsi="Tahoma"/>
                <w:noProof/>
                <w:sz w:val="18"/>
                <w:szCs w:val="18"/>
              </w:rPr>
            </w:pPr>
            <w:r w:rsidRPr="00A57112">
              <w:rPr>
                <w:rFonts w:ascii="Tahoma" w:hAnsi="Tahoma"/>
                <w:noProof/>
                <w:sz w:val="18"/>
                <w:szCs w:val="18"/>
                <w:lang w:val="en-US"/>
              </w:rPr>
              <w:drawing>
                <wp:inline distT="0" distB="0" distL="0" distR="0">
                  <wp:extent cx="3838575" cy="31337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3133725"/>
                          </a:xfrm>
                          <a:prstGeom prst="rect">
                            <a:avLst/>
                          </a:prstGeom>
                          <a:noFill/>
                          <a:ln>
                            <a:noFill/>
                          </a:ln>
                        </pic:spPr>
                      </pic:pic>
                    </a:graphicData>
                  </a:graphic>
                </wp:inline>
              </w:drawing>
            </w:r>
          </w:p>
          <w:p w:rsidR="00132D29" w:rsidRPr="006B5729" w:rsidRDefault="00132D29" w:rsidP="00CA2696">
            <w:pPr>
              <w:rPr>
                <w:rFonts w:ascii="Tahoma" w:hAnsi="Tahoma"/>
                <w:sz w:val="18"/>
                <w:szCs w:val="18"/>
              </w:rPr>
            </w:pPr>
          </w:p>
        </w:tc>
        <w:tc>
          <w:tcPr>
            <w:tcW w:w="4400" w:type="dxa"/>
            <w:vAlign w:val="center"/>
          </w:tcPr>
          <w:p w:rsidR="00940EB5" w:rsidRDefault="00940EB5" w:rsidP="00FB2D9D">
            <w:pPr>
              <w:jc w:val="both"/>
              <w:rPr>
                <w:rFonts w:ascii="Tahoma" w:hAnsi="Tahoma"/>
                <w:b/>
                <w:szCs w:val="22"/>
                <w:lang w:val="en-US"/>
              </w:rPr>
            </w:pPr>
          </w:p>
          <w:p w:rsidR="00FB2D9D" w:rsidRPr="00FB2D9D" w:rsidRDefault="00FB2D9D" w:rsidP="00FB2D9D">
            <w:pPr>
              <w:jc w:val="both"/>
              <w:rPr>
                <w:rFonts w:ascii="Tahoma" w:hAnsi="Tahoma"/>
                <w:b/>
                <w:szCs w:val="22"/>
              </w:rPr>
            </w:pPr>
            <w:r w:rsidRPr="00FB2D9D">
              <w:rPr>
                <w:rFonts w:ascii="Tahoma" w:hAnsi="Tahoma"/>
                <w:b/>
                <w:szCs w:val="22"/>
              </w:rPr>
              <w:t xml:space="preserve">Тековната сметка на билансот на плаќања во април и мај 2014 година забележа дефицит од 137,7 милиони евра (или 1,7% од БДП). </w:t>
            </w:r>
            <w:r w:rsidRPr="00FB2D9D">
              <w:rPr>
                <w:rFonts w:ascii="Tahoma" w:hAnsi="Tahoma"/>
                <w:szCs w:val="22"/>
              </w:rPr>
              <w:t>Високиот дефицит на тековната сметка во овој период се должи на одливот кај услугите</w:t>
            </w:r>
            <w:r w:rsidRPr="00FB2D9D">
              <w:rPr>
                <w:rFonts w:ascii="Tahoma" w:hAnsi="Tahoma"/>
                <w:szCs w:val="22"/>
                <w:vertAlign w:val="superscript"/>
              </w:rPr>
              <w:footnoteReference w:id="11"/>
            </w:r>
            <w:r w:rsidRPr="00FB2D9D">
              <w:rPr>
                <w:rFonts w:ascii="Tahoma" w:hAnsi="Tahoma"/>
                <w:szCs w:val="22"/>
              </w:rPr>
              <w:t xml:space="preserve"> остварен во април, како еднократен одлив во текот на второто тримесечје, </w:t>
            </w:r>
            <w:r w:rsidR="0027757C">
              <w:rPr>
                <w:rFonts w:ascii="Tahoma" w:hAnsi="Tahoma"/>
                <w:szCs w:val="22"/>
              </w:rPr>
              <w:t>предвиден</w:t>
            </w:r>
            <w:r w:rsidR="0027757C" w:rsidRPr="00FB2D9D">
              <w:rPr>
                <w:rFonts w:ascii="Tahoma" w:hAnsi="Tahoma"/>
                <w:szCs w:val="22"/>
              </w:rPr>
              <w:t xml:space="preserve"> </w:t>
            </w:r>
            <w:r w:rsidRPr="00FB2D9D">
              <w:rPr>
                <w:rFonts w:ascii="Tahoma" w:hAnsi="Tahoma"/>
                <w:szCs w:val="22"/>
              </w:rPr>
              <w:t>во априлските проекции.</w:t>
            </w:r>
            <w:r w:rsidRPr="00FB2D9D">
              <w:rPr>
                <w:rFonts w:ascii="Tahoma" w:hAnsi="Tahoma"/>
                <w:b/>
                <w:szCs w:val="22"/>
              </w:rPr>
              <w:t xml:space="preserve"> Остварениот дефицит во тековната сметка за овие два месеца </w:t>
            </w:r>
            <w:r w:rsidR="00E64EAB">
              <w:rPr>
                <w:rFonts w:ascii="Tahoma" w:hAnsi="Tahoma"/>
                <w:b/>
                <w:szCs w:val="22"/>
              </w:rPr>
              <w:t>укажува</w:t>
            </w:r>
            <w:r w:rsidR="00E64EAB" w:rsidRPr="00FB2D9D">
              <w:rPr>
                <w:rFonts w:ascii="Tahoma" w:hAnsi="Tahoma"/>
                <w:b/>
                <w:szCs w:val="22"/>
              </w:rPr>
              <w:t xml:space="preserve"> </w:t>
            </w:r>
            <w:r w:rsidRPr="00FB2D9D">
              <w:rPr>
                <w:rFonts w:ascii="Tahoma" w:hAnsi="Tahoma"/>
                <w:b/>
                <w:szCs w:val="22"/>
              </w:rPr>
              <w:t>на подобри</w:t>
            </w:r>
            <w:r w:rsidR="001769C1">
              <w:rPr>
                <w:rFonts w:ascii="Tahoma" w:hAnsi="Tahoma"/>
                <w:b/>
                <w:szCs w:val="22"/>
              </w:rPr>
              <w:t xml:space="preserve"> </w:t>
            </w:r>
            <w:r w:rsidRPr="00FB2D9D">
              <w:rPr>
                <w:rFonts w:ascii="Tahoma" w:hAnsi="Tahoma"/>
                <w:b/>
                <w:szCs w:val="22"/>
              </w:rPr>
              <w:t>остварувања кај тековната сметка во однос на очекувањата за вториот квартал од годината.</w:t>
            </w:r>
          </w:p>
          <w:p w:rsidR="00FB2D9D" w:rsidRPr="00FB2D9D" w:rsidRDefault="00FB2D9D" w:rsidP="00FB2D9D">
            <w:pPr>
              <w:jc w:val="both"/>
              <w:rPr>
                <w:rFonts w:ascii="Tahoma" w:hAnsi="Tahoma"/>
                <w:szCs w:val="22"/>
              </w:rPr>
            </w:pPr>
          </w:p>
          <w:p w:rsidR="00132D29" w:rsidRDefault="00FB2D9D" w:rsidP="00FB2D9D">
            <w:pPr>
              <w:jc w:val="both"/>
              <w:rPr>
                <w:rFonts w:ascii="Tahoma" w:hAnsi="Tahoma"/>
                <w:szCs w:val="22"/>
              </w:rPr>
            </w:pPr>
            <w:r w:rsidRPr="00FB2D9D">
              <w:rPr>
                <w:rFonts w:ascii="Tahoma" w:hAnsi="Tahoma"/>
                <w:szCs w:val="22"/>
              </w:rPr>
              <w:t>Анализата на поединечните компоненти на тековната сметка упатува на подобри остварувања кај салдото на стоки и услуги од проектираните, додека кај останатите компоненти не се забележани значајни отстапувања.</w:t>
            </w:r>
          </w:p>
          <w:p w:rsidR="001769C1" w:rsidRDefault="001769C1" w:rsidP="00FB2D9D">
            <w:pPr>
              <w:jc w:val="both"/>
              <w:rPr>
                <w:rFonts w:ascii="Tahoma" w:hAnsi="Tahoma"/>
                <w:szCs w:val="22"/>
              </w:rPr>
            </w:pPr>
          </w:p>
          <w:p w:rsidR="001769C1" w:rsidRPr="006B5729" w:rsidRDefault="001769C1" w:rsidP="00FB2D9D">
            <w:pPr>
              <w:jc w:val="both"/>
              <w:rPr>
                <w:rFonts w:ascii="Tahoma" w:hAnsi="Tahoma"/>
              </w:rPr>
            </w:pPr>
          </w:p>
        </w:tc>
      </w:tr>
      <w:tr w:rsidR="00FB2D9D" w:rsidRPr="006B5729" w:rsidTr="00CA2696">
        <w:trPr>
          <w:trHeight w:val="996"/>
        </w:trPr>
        <w:tc>
          <w:tcPr>
            <w:tcW w:w="6268" w:type="dxa"/>
          </w:tcPr>
          <w:p w:rsidR="00FB2D9D" w:rsidRDefault="00FB2D9D" w:rsidP="00CA2696">
            <w:pPr>
              <w:rPr>
                <w:rFonts w:ascii="Tahoma" w:hAnsi="Tahoma"/>
                <w:b/>
                <w:noProof/>
                <w:sz w:val="20"/>
                <w:szCs w:val="20"/>
              </w:rPr>
            </w:pPr>
          </w:p>
          <w:p w:rsidR="00FB2D9D" w:rsidRDefault="00FB2D9D" w:rsidP="00CA2696">
            <w:pPr>
              <w:rPr>
                <w:rFonts w:ascii="Tahoma" w:hAnsi="Tahoma"/>
                <w:b/>
                <w:noProof/>
                <w:sz w:val="20"/>
                <w:szCs w:val="20"/>
              </w:rPr>
            </w:pPr>
          </w:p>
          <w:p w:rsidR="00FB2D9D" w:rsidRPr="006B5729" w:rsidRDefault="00D61982" w:rsidP="00CA2696">
            <w:pPr>
              <w:rPr>
                <w:rFonts w:ascii="Tahoma" w:hAnsi="Tahoma"/>
                <w:sz w:val="18"/>
                <w:szCs w:val="18"/>
              </w:rPr>
            </w:pPr>
            <w:r w:rsidRPr="00A57112">
              <w:rPr>
                <w:rFonts w:ascii="Tahoma" w:hAnsi="Tahoma"/>
                <w:noProof/>
                <w:sz w:val="18"/>
                <w:szCs w:val="18"/>
                <w:lang w:val="en-US"/>
              </w:rPr>
              <w:drawing>
                <wp:anchor distT="0" distB="0" distL="114300" distR="114300" simplePos="0" relativeHeight="251662336" behindDoc="0" locked="0" layoutInCell="1" allowOverlap="1">
                  <wp:simplePos x="0" y="0"/>
                  <wp:positionH relativeFrom="column">
                    <wp:posOffset>3810</wp:posOffset>
                  </wp:positionH>
                  <wp:positionV relativeFrom="paragraph">
                    <wp:posOffset>509270</wp:posOffset>
                  </wp:positionV>
                  <wp:extent cx="3838575" cy="3028950"/>
                  <wp:effectExtent l="0" t="0" r="952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3028950"/>
                          </a:xfrm>
                          <a:prstGeom prst="rect">
                            <a:avLst/>
                          </a:prstGeom>
                          <a:noFill/>
                          <a:ln>
                            <a:noFill/>
                          </a:ln>
                        </pic:spPr>
                      </pic:pic>
                    </a:graphicData>
                  </a:graphic>
                </wp:anchor>
              </w:drawing>
            </w:r>
          </w:p>
        </w:tc>
        <w:tc>
          <w:tcPr>
            <w:tcW w:w="4400" w:type="dxa"/>
            <w:vAlign w:val="center"/>
          </w:tcPr>
          <w:p w:rsidR="00FB2D9D" w:rsidRDefault="00FB2D9D" w:rsidP="00FB2D9D">
            <w:pPr>
              <w:jc w:val="both"/>
              <w:rPr>
                <w:rFonts w:ascii="Tahoma" w:hAnsi="Tahoma"/>
                <w:b/>
                <w:szCs w:val="22"/>
              </w:rPr>
            </w:pPr>
          </w:p>
          <w:p w:rsidR="00FB2D9D" w:rsidRPr="00FB2D9D" w:rsidRDefault="00FB2D9D" w:rsidP="00FB2D9D">
            <w:pPr>
              <w:jc w:val="both"/>
              <w:rPr>
                <w:rFonts w:ascii="Tahoma" w:hAnsi="Tahoma"/>
                <w:b/>
                <w:szCs w:val="22"/>
              </w:rPr>
            </w:pPr>
            <w:r w:rsidRPr="00FB2D9D">
              <w:rPr>
                <w:rFonts w:ascii="Tahoma" w:hAnsi="Tahoma"/>
                <w:b/>
                <w:szCs w:val="22"/>
              </w:rPr>
              <w:t xml:space="preserve">Во периодот </w:t>
            </w:r>
            <w:proofErr w:type="spellStart"/>
            <w:r w:rsidRPr="00FB2D9D">
              <w:rPr>
                <w:rFonts w:ascii="Tahoma" w:hAnsi="Tahoma"/>
                <w:b/>
                <w:szCs w:val="22"/>
              </w:rPr>
              <w:t>април-мај</w:t>
            </w:r>
            <w:proofErr w:type="spellEnd"/>
            <w:r w:rsidRPr="00FB2D9D">
              <w:rPr>
                <w:rFonts w:ascii="Tahoma" w:hAnsi="Tahoma"/>
                <w:b/>
                <w:szCs w:val="22"/>
              </w:rPr>
              <w:t xml:space="preserve"> во </w:t>
            </w:r>
            <w:proofErr w:type="spellStart"/>
            <w:r w:rsidRPr="00FB2D9D">
              <w:rPr>
                <w:rFonts w:ascii="Tahoma" w:hAnsi="Tahoma"/>
                <w:b/>
                <w:szCs w:val="22"/>
              </w:rPr>
              <w:t>капитално-финансиската</w:t>
            </w:r>
            <w:proofErr w:type="spellEnd"/>
            <w:r w:rsidRPr="00FB2D9D">
              <w:rPr>
                <w:rFonts w:ascii="Tahoma" w:hAnsi="Tahoma"/>
                <w:b/>
                <w:szCs w:val="22"/>
              </w:rPr>
              <w:t xml:space="preserve"> сметка </w:t>
            </w:r>
            <w:r w:rsidR="00D348D3">
              <w:rPr>
                <w:rFonts w:ascii="Tahoma" w:hAnsi="Tahoma"/>
                <w:b/>
                <w:szCs w:val="22"/>
              </w:rPr>
              <w:t xml:space="preserve">се </w:t>
            </w:r>
            <w:r w:rsidRPr="00FB2D9D">
              <w:rPr>
                <w:rFonts w:ascii="Tahoma" w:hAnsi="Tahoma"/>
                <w:b/>
                <w:szCs w:val="22"/>
              </w:rPr>
              <w:t xml:space="preserve">реализирани </w:t>
            </w:r>
            <w:proofErr w:type="spellStart"/>
            <w:r w:rsidRPr="00FB2D9D">
              <w:rPr>
                <w:rFonts w:ascii="Tahoma" w:hAnsi="Tahoma"/>
                <w:b/>
                <w:szCs w:val="22"/>
              </w:rPr>
              <w:t>нето-приливи</w:t>
            </w:r>
            <w:proofErr w:type="spellEnd"/>
            <w:r w:rsidRPr="00FB2D9D">
              <w:rPr>
                <w:rFonts w:ascii="Tahoma" w:hAnsi="Tahoma"/>
                <w:b/>
                <w:szCs w:val="22"/>
              </w:rPr>
              <w:t xml:space="preserve"> во висина од 105,8 милиони евра (или 1,3% од БДП), при што остварените </w:t>
            </w:r>
            <w:proofErr w:type="spellStart"/>
            <w:r w:rsidRPr="00FB2D9D">
              <w:rPr>
                <w:rFonts w:ascii="Tahoma" w:hAnsi="Tahoma"/>
                <w:b/>
                <w:szCs w:val="22"/>
              </w:rPr>
              <w:t>нето-приливи</w:t>
            </w:r>
            <w:proofErr w:type="spellEnd"/>
            <w:r w:rsidRPr="00FB2D9D">
              <w:rPr>
                <w:rFonts w:ascii="Tahoma" w:hAnsi="Tahoma"/>
                <w:b/>
                <w:szCs w:val="22"/>
              </w:rPr>
              <w:t xml:space="preserve"> се пониски од проектираните за вториот квартал од годината. </w:t>
            </w:r>
          </w:p>
          <w:p w:rsidR="00FB2D9D" w:rsidRPr="00FB2D9D" w:rsidRDefault="00FB2D9D" w:rsidP="00FB2D9D">
            <w:pPr>
              <w:jc w:val="both"/>
              <w:rPr>
                <w:rFonts w:ascii="Tahoma" w:hAnsi="Tahoma"/>
                <w:b/>
                <w:szCs w:val="22"/>
                <w:lang w:val="en-US"/>
              </w:rPr>
            </w:pPr>
          </w:p>
          <w:p w:rsidR="00FB2D9D" w:rsidRPr="00FB2D9D" w:rsidRDefault="00FB2D9D" w:rsidP="00FB2D9D">
            <w:pPr>
              <w:jc w:val="both"/>
              <w:rPr>
                <w:rFonts w:ascii="Tahoma" w:hAnsi="Tahoma"/>
                <w:szCs w:val="22"/>
              </w:rPr>
            </w:pPr>
            <w:r w:rsidRPr="00FB2D9D">
              <w:rPr>
                <w:rFonts w:ascii="Tahoma" w:hAnsi="Tahoma"/>
                <w:szCs w:val="22"/>
              </w:rPr>
              <w:t xml:space="preserve">Отстапувањата во најголем дел се должат на повисоките </w:t>
            </w:r>
            <w:proofErr w:type="spellStart"/>
            <w:r w:rsidRPr="00FB2D9D">
              <w:rPr>
                <w:rFonts w:ascii="Tahoma" w:hAnsi="Tahoma"/>
                <w:szCs w:val="22"/>
              </w:rPr>
              <w:t>нето-одливи</w:t>
            </w:r>
            <w:proofErr w:type="spellEnd"/>
            <w:r w:rsidRPr="00FB2D9D">
              <w:rPr>
                <w:rFonts w:ascii="Tahoma" w:hAnsi="Tahoma"/>
                <w:szCs w:val="22"/>
              </w:rPr>
              <w:t xml:space="preserve"> кај валутите и депозитите на останатите сектори, как</w:t>
            </w:r>
            <w:r w:rsidR="003D1281">
              <w:rPr>
                <w:rFonts w:ascii="Tahoma" w:hAnsi="Tahoma"/>
                <w:szCs w:val="22"/>
              </w:rPr>
              <w:t xml:space="preserve">о и на пониските </w:t>
            </w:r>
            <w:proofErr w:type="spellStart"/>
            <w:r w:rsidR="00D348D3" w:rsidRPr="00FB2D9D">
              <w:rPr>
                <w:rFonts w:ascii="Tahoma" w:hAnsi="Tahoma"/>
                <w:szCs w:val="22"/>
              </w:rPr>
              <w:t>нето-приливи</w:t>
            </w:r>
            <w:proofErr w:type="spellEnd"/>
            <w:r w:rsidR="00D348D3" w:rsidRPr="00FB2D9D">
              <w:rPr>
                <w:rFonts w:ascii="Tahoma" w:hAnsi="Tahoma"/>
                <w:szCs w:val="22"/>
              </w:rPr>
              <w:t xml:space="preserve"> </w:t>
            </w:r>
            <w:r w:rsidR="003D1281">
              <w:rPr>
                <w:rFonts w:ascii="Tahoma" w:hAnsi="Tahoma"/>
                <w:szCs w:val="22"/>
              </w:rPr>
              <w:t xml:space="preserve">од очекуваните </w:t>
            </w:r>
            <w:r w:rsidRPr="00FB2D9D">
              <w:rPr>
                <w:rFonts w:ascii="Tahoma" w:hAnsi="Tahoma"/>
                <w:szCs w:val="22"/>
              </w:rPr>
              <w:t xml:space="preserve">по основ на долгорочни финансиски заеми. </w:t>
            </w:r>
          </w:p>
          <w:p w:rsidR="00FB2D9D" w:rsidRPr="00FB2D9D" w:rsidRDefault="00FB2D9D" w:rsidP="00FB2D9D">
            <w:pPr>
              <w:jc w:val="both"/>
              <w:rPr>
                <w:rFonts w:ascii="Tahoma" w:hAnsi="Tahoma"/>
                <w:szCs w:val="22"/>
                <w:highlight w:val="yellow"/>
              </w:rPr>
            </w:pPr>
          </w:p>
          <w:p w:rsidR="001769C1" w:rsidRDefault="00FB2D9D" w:rsidP="00FB2D9D">
            <w:pPr>
              <w:jc w:val="both"/>
              <w:rPr>
                <w:rFonts w:ascii="Tahoma" w:hAnsi="Tahoma"/>
                <w:szCs w:val="22"/>
              </w:rPr>
            </w:pPr>
            <w:r w:rsidRPr="00FB2D9D">
              <w:rPr>
                <w:rFonts w:ascii="Tahoma" w:hAnsi="Tahoma"/>
                <w:szCs w:val="22"/>
              </w:rPr>
              <w:t xml:space="preserve">Од друга страна, во текот на април и мај  беа остварени </w:t>
            </w:r>
            <w:proofErr w:type="spellStart"/>
            <w:r w:rsidRPr="00FB2D9D">
              <w:rPr>
                <w:rFonts w:ascii="Tahoma" w:hAnsi="Tahoma"/>
                <w:szCs w:val="22"/>
              </w:rPr>
              <w:t>нето-приливи</w:t>
            </w:r>
            <w:proofErr w:type="spellEnd"/>
            <w:r w:rsidRPr="00FB2D9D">
              <w:rPr>
                <w:rFonts w:ascii="Tahoma" w:hAnsi="Tahoma"/>
                <w:szCs w:val="22"/>
              </w:rPr>
              <w:t xml:space="preserve"> кај трговските кредити, спротивно на очекувањата во  априлската проекција за реализирање на мали одливи кај оваа категорија. </w:t>
            </w:r>
            <w:r w:rsidRPr="00FB2D9D">
              <w:t xml:space="preserve"> </w:t>
            </w:r>
            <w:r w:rsidRPr="00FB2D9D">
              <w:rPr>
                <w:rFonts w:ascii="Tahoma" w:hAnsi="Tahoma"/>
                <w:szCs w:val="22"/>
              </w:rPr>
              <w:t xml:space="preserve">Остварувањата и кај </w:t>
            </w:r>
          </w:p>
          <w:p w:rsidR="001769C1" w:rsidRDefault="001769C1" w:rsidP="00FB2D9D">
            <w:pPr>
              <w:jc w:val="both"/>
              <w:rPr>
                <w:rFonts w:ascii="Tahoma" w:hAnsi="Tahoma"/>
                <w:szCs w:val="22"/>
              </w:rPr>
            </w:pPr>
          </w:p>
          <w:p w:rsidR="00FB2D9D" w:rsidRPr="00FB2D9D" w:rsidRDefault="00FB2D9D" w:rsidP="00FB2D9D">
            <w:pPr>
              <w:jc w:val="both"/>
              <w:rPr>
                <w:rFonts w:ascii="Tahoma" w:hAnsi="Tahoma"/>
                <w:szCs w:val="22"/>
              </w:rPr>
            </w:pPr>
            <w:r w:rsidRPr="00FB2D9D">
              <w:rPr>
                <w:rFonts w:ascii="Tahoma" w:hAnsi="Tahoma"/>
                <w:szCs w:val="22"/>
              </w:rPr>
              <w:t xml:space="preserve">странските директни инвестиции укажуваат на можност за нешто повисоки </w:t>
            </w:r>
            <w:proofErr w:type="spellStart"/>
            <w:r w:rsidRPr="00FB2D9D">
              <w:rPr>
                <w:rFonts w:ascii="Tahoma" w:hAnsi="Tahoma"/>
                <w:szCs w:val="22"/>
              </w:rPr>
              <w:t>нето-приливи</w:t>
            </w:r>
            <w:proofErr w:type="spellEnd"/>
            <w:r w:rsidRPr="00FB2D9D">
              <w:rPr>
                <w:rFonts w:ascii="Tahoma" w:hAnsi="Tahoma"/>
                <w:szCs w:val="22"/>
              </w:rPr>
              <w:t xml:space="preserve"> од проектираните. </w:t>
            </w:r>
          </w:p>
          <w:p w:rsidR="00FB2D9D" w:rsidRPr="006B5729" w:rsidRDefault="00FB2D9D" w:rsidP="00272F1D">
            <w:pPr>
              <w:jc w:val="both"/>
              <w:rPr>
                <w:rFonts w:ascii="Tahoma" w:hAnsi="Tahoma"/>
              </w:rPr>
            </w:pPr>
          </w:p>
        </w:tc>
      </w:tr>
      <w:tr w:rsidR="00FB2D9D" w:rsidRPr="006B5729" w:rsidTr="00A57112">
        <w:trPr>
          <w:trHeight w:val="996"/>
        </w:trPr>
        <w:tc>
          <w:tcPr>
            <w:tcW w:w="6268" w:type="dxa"/>
            <w:vAlign w:val="center"/>
          </w:tcPr>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D61982" w:rsidP="00A57112">
            <w:pPr>
              <w:jc w:val="center"/>
              <w:rPr>
                <w:rFonts w:ascii="Tahoma" w:hAnsi="Tahoma"/>
                <w:b/>
                <w:noProof/>
                <w:sz w:val="20"/>
                <w:szCs w:val="20"/>
              </w:rPr>
            </w:pPr>
            <w:r w:rsidRPr="00A57112">
              <w:rPr>
                <w:rFonts w:ascii="Tahoma" w:hAnsi="Tahoma"/>
                <w:b/>
                <w:noProof/>
                <w:sz w:val="20"/>
                <w:szCs w:val="20"/>
                <w:lang w:val="en-US"/>
              </w:rPr>
              <w:drawing>
                <wp:inline distT="0" distB="0" distL="0" distR="0">
                  <wp:extent cx="3838575" cy="24288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2428875"/>
                          </a:xfrm>
                          <a:prstGeom prst="rect">
                            <a:avLst/>
                          </a:prstGeom>
                          <a:noFill/>
                          <a:ln>
                            <a:noFill/>
                          </a:ln>
                        </pic:spPr>
                      </pic:pic>
                    </a:graphicData>
                  </a:graphic>
                </wp:inline>
              </w:drawing>
            </w: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b/>
                <w:noProof/>
                <w:sz w:val="20"/>
                <w:szCs w:val="20"/>
              </w:rPr>
            </w:pPr>
          </w:p>
          <w:p w:rsidR="00007100" w:rsidRDefault="00007100" w:rsidP="00A57112">
            <w:pPr>
              <w:jc w:val="center"/>
              <w:rPr>
                <w:rFonts w:ascii="Tahoma" w:hAnsi="Tahoma"/>
                <w:sz w:val="18"/>
                <w:szCs w:val="18"/>
              </w:rPr>
            </w:pPr>
          </w:p>
        </w:tc>
        <w:tc>
          <w:tcPr>
            <w:tcW w:w="4400" w:type="dxa"/>
            <w:vAlign w:val="center"/>
          </w:tcPr>
          <w:p w:rsidR="001769C1" w:rsidRDefault="001769C1" w:rsidP="001B2BD8">
            <w:pPr>
              <w:jc w:val="both"/>
              <w:rPr>
                <w:rFonts w:ascii="Tahoma" w:hAnsi="Tahoma"/>
                <w:b/>
                <w:szCs w:val="22"/>
              </w:rPr>
            </w:pPr>
          </w:p>
          <w:p w:rsidR="001769C1" w:rsidRDefault="00FB2D9D" w:rsidP="001B2BD8">
            <w:pPr>
              <w:jc w:val="both"/>
              <w:rPr>
                <w:rFonts w:ascii="Tahoma" w:hAnsi="Tahoma"/>
                <w:b/>
                <w:szCs w:val="22"/>
              </w:rPr>
            </w:pPr>
            <w:r w:rsidRPr="00FB2D9D">
              <w:rPr>
                <w:rFonts w:ascii="Tahoma" w:hAnsi="Tahoma"/>
                <w:b/>
                <w:szCs w:val="22"/>
              </w:rPr>
              <w:t>Последните податоци за менувачкото  работење, заклучно со  јули 2014 година</w:t>
            </w:r>
            <w:r w:rsidR="00C36F27">
              <w:rPr>
                <w:rFonts w:ascii="Tahoma" w:hAnsi="Tahoma"/>
                <w:b/>
                <w:szCs w:val="22"/>
                <w:lang w:val="en-US"/>
              </w:rPr>
              <w:t>,</w:t>
            </w:r>
            <w:r w:rsidRPr="00FB2D9D">
              <w:rPr>
                <w:rFonts w:ascii="Tahoma" w:hAnsi="Tahoma"/>
                <w:b/>
                <w:szCs w:val="22"/>
              </w:rPr>
              <w:t xml:space="preserve"> укажуваат на </w:t>
            </w:r>
            <w:r w:rsidR="002D4644">
              <w:rPr>
                <w:rFonts w:ascii="Tahoma" w:hAnsi="Tahoma"/>
                <w:b/>
                <w:szCs w:val="22"/>
              </w:rPr>
              <w:t>засилен</w:t>
            </w:r>
            <w:r w:rsidRPr="00FB2D9D">
              <w:rPr>
                <w:rFonts w:ascii="Tahoma" w:hAnsi="Tahoma"/>
                <w:b/>
                <w:szCs w:val="22"/>
              </w:rPr>
              <w:t xml:space="preserve"> пад кај понудата на девизи на годишна основа</w:t>
            </w:r>
            <w:r w:rsidR="0023512F">
              <w:rPr>
                <w:rFonts w:ascii="Tahoma" w:hAnsi="Tahoma"/>
                <w:b/>
                <w:szCs w:val="22"/>
              </w:rPr>
              <w:t xml:space="preserve">, при истовремено зголемување на </w:t>
            </w:r>
            <w:r w:rsidR="00B62541">
              <w:rPr>
                <w:rFonts w:ascii="Tahoma" w:hAnsi="Tahoma"/>
                <w:b/>
                <w:szCs w:val="22"/>
              </w:rPr>
              <w:t xml:space="preserve"> </w:t>
            </w:r>
            <w:r w:rsidRPr="00FB2D9D">
              <w:rPr>
                <w:rFonts w:ascii="Tahoma" w:hAnsi="Tahoma"/>
                <w:b/>
                <w:szCs w:val="22"/>
              </w:rPr>
              <w:t>побарувачката на девизи</w:t>
            </w:r>
            <w:r w:rsidR="0023512F">
              <w:rPr>
                <w:rFonts w:ascii="Tahoma" w:hAnsi="Tahoma"/>
                <w:b/>
                <w:szCs w:val="22"/>
              </w:rPr>
              <w:t>.</w:t>
            </w:r>
            <w:r w:rsidR="0023512F" w:rsidRPr="00FB2D9D" w:rsidDel="0023512F">
              <w:rPr>
                <w:rFonts w:ascii="Tahoma" w:hAnsi="Tahoma"/>
                <w:b/>
                <w:szCs w:val="22"/>
              </w:rPr>
              <w:t xml:space="preserve"> </w:t>
            </w:r>
          </w:p>
          <w:p w:rsidR="001769C1" w:rsidRDefault="001769C1" w:rsidP="001B2BD8">
            <w:pPr>
              <w:jc w:val="both"/>
              <w:rPr>
                <w:rFonts w:ascii="Tahoma" w:hAnsi="Tahoma"/>
                <w:b/>
                <w:szCs w:val="22"/>
              </w:rPr>
            </w:pPr>
          </w:p>
          <w:p w:rsidR="001B2BD8" w:rsidRPr="001B2BD8" w:rsidRDefault="00FB2D9D" w:rsidP="001B2BD8">
            <w:pPr>
              <w:jc w:val="both"/>
              <w:rPr>
                <w:rFonts w:ascii="Tahoma" w:hAnsi="Tahoma"/>
                <w:szCs w:val="22"/>
              </w:rPr>
            </w:pPr>
            <w:r w:rsidRPr="00FB2D9D">
              <w:rPr>
                <w:rFonts w:ascii="Tahoma" w:hAnsi="Tahoma"/>
                <w:szCs w:val="22"/>
              </w:rPr>
              <w:t xml:space="preserve">Остварениот </w:t>
            </w:r>
            <w:proofErr w:type="spellStart"/>
            <w:r w:rsidRPr="00FB2D9D">
              <w:rPr>
                <w:rFonts w:ascii="Tahoma" w:hAnsi="Tahoma"/>
                <w:szCs w:val="22"/>
              </w:rPr>
              <w:t>нето-откуп</w:t>
            </w:r>
            <w:proofErr w:type="spellEnd"/>
            <w:r w:rsidRPr="00FB2D9D">
              <w:rPr>
                <w:rFonts w:ascii="Tahoma" w:hAnsi="Tahoma"/>
                <w:szCs w:val="22"/>
              </w:rPr>
              <w:t xml:space="preserve"> на менувачкиот пазар во </w:t>
            </w:r>
            <w:r w:rsidR="0023512F">
              <w:rPr>
                <w:rFonts w:ascii="Tahoma" w:hAnsi="Tahoma"/>
                <w:szCs w:val="22"/>
              </w:rPr>
              <w:t>текот на јули</w:t>
            </w:r>
            <w:r w:rsidRPr="00FB2D9D">
              <w:rPr>
                <w:rFonts w:ascii="Tahoma" w:hAnsi="Tahoma"/>
                <w:szCs w:val="22"/>
              </w:rPr>
              <w:t xml:space="preserve"> изнесува </w:t>
            </w:r>
            <w:r w:rsidR="0023512F">
              <w:rPr>
                <w:rFonts w:ascii="Tahoma" w:hAnsi="Tahoma"/>
                <w:szCs w:val="22"/>
              </w:rPr>
              <w:t>120,5</w:t>
            </w:r>
            <w:r w:rsidRPr="00FB2D9D">
              <w:rPr>
                <w:rFonts w:ascii="Tahoma" w:hAnsi="Tahoma"/>
                <w:szCs w:val="22"/>
              </w:rPr>
              <w:t xml:space="preserve"> милиони евра, што претставува годишен пад од </w:t>
            </w:r>
            <w:r w:rsidR="001B2BD8">
              <w:rPr>
                <w:rFonts w:ascii="Tahoma" w:hAnsi="Tahoma"/>
                <w:szCs w:val="22"/>
              </w:rPr>
              <w:t>4,6</w:t>
            </w:r>
            <w:r w:rsidRPr="00FB2D9D">
              <w:rPr>
                <w:rFonts w:ascii="Tahoma" w:hAnsi="Tahoma"/>
                <w:szCs w:val="22"/>
              </w:rPr>
              <w:t>%.</w:t>
            </w:r>
            <w:r w:rsidR="001B2BD8">
              <w:t xml:space="preserve"> </w:t>
            </w:r>
            <w:r w:rsidR="001B2BD8" w:rsidRPr="009E0298">
              <w:rPr>
                <w:rFonts w:ascii="Tahoma" w:hAnsi="Tahoma"/>
                <w:szCs w:val="22"/>
              </w:rPr>
              <w:t xml:space="preserve">Последните информации од менувачкиот пазар </w:t>
            </w:r>
            <w:r w:rsidR="00236AE9">
              <w:rPr>
                <w:rFonts w:ascii="Tahoma" w:hAnsi="Tahoma"/>
                <w:szCs w:val="22"/>
              </w:rPr>
              <w:t xml:space="preserve">не </w:t>
            </w:r>
            <w:r w:rsidR="001B2BD8">
              <w:rPr>
                <w:rFonts w:ascii="Tahoma" w:hAnsi="Tahoma"/>
                <w:szCs w:val="22"/>
              </w:rPr>
              <w:t xml:space="preserve">укажуваат на </w:t>
            </w:r>
            <w:r w:rsidR="00236AE9">
              <w:rPr>
                <w:rFonts w:ascii="Tahoma" w:hAnsi="Tahoma"/>
                <w:szCs w:val="22"/>
              </w:rPr>
              <w:t xml:space="preserve">значајни </w:t>
            </w:r>
            <w:r w:rsidR="00B62541">
              <w:rPr>
                <w:rFonts w:ascii="Tahoma" w:hAnsi="Tahoma"/>
                <w:szCs w:val="22"/>
              </w:rPr>
              <w:t>отстапувања</w:t>
            </w:r>
            <w:r w:rsidR="001B2BD8" w:rsidRPr="008A3A34">
              <w:rPr>
                <w:rFonts w:ascii="Tahoma" w:hAnsi="Tahoma"/>
                <w:szCs w:val="22"/>
              </w:rPr>
              <w:t xml:space="preserve"> </w:t>
            </w:r>
            <w:r w:rsidR="00B62541">
              <w:rPr>
                <w:rFonts w:ascii="Tahoma" w:hAnsi="Tahoma"/>
                <w:szCs w:val="22"/>
              </w:rPr>
              <w:t xml:space="preserve">на </w:t>
            </w:r>
            <w:r w:rsidR="001B2BD8" w:rsidRPr="009E0298">
              <w:rPr>
                <w:rFonts w:ascii="Tahoma" w:hAnsi="Tahoma"/>
                <w:szCs w:val="22"/>
              </w:rPr>
              <w:t xml:space="preserve">приватните трансфери </w:t>
            </w:r>
            <w:r w:rsidR="00236AE9">
              <w:rPr>
                <w:rFonts w:ascii="Tahoma" w:hAnsi="Tahoma"/>
                <w:szCs w:val="22"/>
              </w:rPr>
              <w:t xml:space="preserve">во однос на очекувањата за </w:t>
            </w:r>
            <w:r w:rsidR="001B2BD8">
              <w:rPr>
                <w:rFonts w:ascii="Tahoma" w:hAnsi="Tahoma"/>
                <w:szCs w:val="22"/>
              </w:rPr>
              <w:t xml:space="preserve">третиот </w:t>
            </w:r>
            <w:r w:rsidR="001B2BD8" w:rsidRPr="009E0298">
              <w:rPr>
                <w:rFonts w:ascii="Tahoma" w:hAnsi="Tahoma"/>
                <w:szCs w:val="22"/>
              </w:rPr>
              <w:t>квартал од 2014 година</w:t>
            </w:r>
            <w:r w:rsidR="001B2BD8">
              <w:rPr>
                <w:rFonts w:ascii="Tahoma" w:hAnsi="Tahoma"/>
                <w:szCs w:val="22"/>
              </w:rPr>
              <w:t xml:space="preserve">. </w:t>
            </w:r>
            <w:r w:rsidR="003D2176" w:rsidRPr="00A57112">
              <w:rPr>
                <w:rFonts w:ascii="Tahoma" w:hAnsi="Tahoma"/>
                <w:szCs w:val="22"/>
              </w:rPr>
              <w:t xml:space="preserve">Сепак, податоците се однесуваат </w:t>
            </w:r>
            <w:r w:rsidR="002D4644">
              <w:rPr>
                <w:rFonts w:ascii="Tahoma" w:hAnsi="Tahoma"/>
                <w:szCs w:val="22"/>
              </w:rPr>
              <w:t>н</w:t>
            </w:r>
            <w:r w:rsidR="003D2176" w:rsidRPr="00A57112">
              <w:rPr>
                <w:rFonts w:ascii="Tahoma" w:hAnsi="Tahoma"/>
                <w:szCs w:val="22"/>
              </w:rPr>
              <w:t xml:space="preserve">а многу  кус период и не се доволни за </w:t>
            </w:r>
            <w:r w:rsidR="00E50E1F">
              <w:rPr>
                <w:rFonts w:ascii="Tahoma" w:hAnsi="Tahoma"/>
                <w:szCs w:val="22"/>
              </w:rPr>
              <w:t>да се извлечат посигурни заклучоци</w:t>
            </w:r>
            <w:r w:rsidR="003D2176" w:rsidRPr="00A57112">
              <w:rPr>
                <w:rFonts w:ascii="Tahoma" w:hAnsi="Tahoma"/>
                <w:szCs w:val="22"/>
              </w:rPr>
              <w:t xml:space="preserve">.  </w:t>
            </w:r>
          </w:p>
          <w:p w:rsidR="00FB2D9D" w:rsidRPr="006B5729" w:rsidRDefault="00FB2D9D" w:rsidP="00C36F27">
            <w:pPr>
              <w:jc w:val="both"/>
              <w:rPr>
                <w:rFonts w:ascii="Tahoma" w:hAnsi="Tahoma"/>
              </w:rPr>
            </w:pPr>
          </w:p>
        </w:tc>
      </w:tr>
      <w:tr w:rsidR="00FB2D9D" w:rsidRPr="006B5729" w:rsidTr="001769C1">
        <w:trPr>
          <w:trHeight w:val="996"/>
        </w:trPr>
        <w:tc>
          <w:tcPr>
            <w:tcW w:w="6268" w:type="dxa"/>
            <w:vAlign w:val="center"/>
          </w:tcPr>
          <w:p w:rsidR="00007100" w:rsidRDefault="00007100">
            <w:pPr>
              <w:jc w:val="center"/>
              <w:rPr>
                <w:rFonts w:ascii="Tahoma" w:hAnsi="Tahoma"/>
                <w:sz w:val="18"/>
                <w:szCs w:val="18"/>
                <w:lang w:val="en-US"/>
              </w:rPr>
            </w:pPr>
          </w:p>
          <w:p w:rsidR="00007100" w:rsidRDefault="001769C1">
            <w:pPr>
              <w:jc w:val="center"/>
              <w:rPr>
                <w:rFonts w:ascii="Tahoma" w:hAnsi="Tahoma"/>
                <w:noProof/>
                <w:sz w:val="18"/>
                <w:szCs w:val="18"/>
              </w:rPr>
            </w:pPr>
            <w:r w:rsidRPr="00A57112">
              <w:rPr>
                <w:rFonts w:ascii="Tahoma" w:hAnsi="Tahoma"/>
                <w:noProof/>
                <w:sz w:val="18"/>
                <w:szCs w:val="18"/>
                <w:lang w:val="en-US"/>
              </w:rPr>
              <w:drawing>
                <wp:anchor distT="0" distB="0" distL="114300" distR="114300" simplePos="0" relativeHeight="251664384" behindDoc="0" locked="0" layoutInCell="1" allowOverlap="1">
                  <wp:simplePos x="0" y="0"/>
                  <wp:positionH relativeFrom="column">
                    <wp:posOffset>66675</wp:posOffset>
                  </wp:positionH>
                  <wp:positionV relativeFrom="paragraph">
                    <wp:posOffset>124460</wp:posOffset>
                  </wp:positionV>
                  <wp:extent cx="3840480" cy="2623820"/>
                  <wp:effectExtent l="0" t="0" r="7620" b="50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0480" cy="2623820"/>
                          </a:xfrm>
                          <a:prstGeom prst="rect">
                            <a:avLst/>
                          </a:prstGeom>
                          <a:noFill/>
                          <a:ln>
                            <a:noFill/>
                          </a:ln>
                        </pic:spPr>
                      </pic:pic>
                    </a:graphicData>
                  </a:graphic>
                </wp:anchor>
              </w:drawing>
            </w:r>
          </w:p>
          <w:p w:rsidR="00007100" w:rsidRDefault="00007100" w:rsidP="00BC047E">
            <w:pPr>
              <w:jc w:val="center"/>
              <w:rPr>
                <w:rFonts w:ascii="Tahoma" w:hAnsi="Tahoma"/>
                <w:noProof/>
                <w:sz w:val="18"/>
                <w:szCs w:val="18"/>
              </w:rPr>
            </w:pPr>
          </w:p>
          <w:p w:rsidR="00007100" w:rsidRDefault="00007100" w:rsidP="00A57112">
            <w:pPr>
              <w:jc w:val="center"/>
              <w:rPr>
                <w:rFonts w:ascii="Tahoma" w:hAnsi="Tahoma"/>
                <w:noProof/>
                <w:sz w:val="18"/>
                <w:szCs w:val="18"/>
              </w:rPr>
            </w:pPr>
          </w:p>
          <w:p w:rsidR="00007100" w:rsidRDefault="00007100" w:rsidP="00A57112">
            <w:pPr>
              <w:jc w:val="center"/>
              <w:rPr>
                <w:rFonts w:ascii="Tahoma" w:hAnsi="Tahoma"/>
                <w:noProof/>
                <w:sz w:val="18"/>
                <w:szCs w:val="18"/>
              </w:rPr>
            </w:pPr>
          </w:p>
          <w:p w:rsidR="00007100" w:rsidRDefault="00007100" w:rsidP="00A57112">
            <w:pPr>
              <w:jc w:val="center"/>
              <w:rPr>
                <w:rFonts w:ascii="Tahoma" w:hAnsi="Tahoma"/>
                <w:noProof/>
                <w:sz w:val="18"/>
                <w:szCs w:val="18"/>
              </w:rPr>
            </w:pPr>
          </w:p>
          <w:p w:rsidR="00007100" w:rsidRDefault="00007100" w:rsidP="00A57112">
            <w:pPr>
              <w:jc w:val="center"/>
              <w:rPr>
                <w:rFonts w:ascii="Tahoma" w:hAnsi="Tahoma"/>
                <w:sz w:val="18"/>
                <w:szCs w:val="18"/>
              </w:rPr>
            </w:pPr>
          </w:p>
          <w:p w:rsidR="00007100" w:rsidRDefault="00007100" w:rsidP="00A57112">
            <w:pPr>
              <w:jc w:val="center"/>
              <w:rPr>
                <w:rFonts w:ascii="Tahoma" w:hAnsi="Tahoma"/>
                <w:sz w:val="18"/>
                <w:szCs w:val="18"/>
              </w:rPr>
            </w:pPr>
          </w:p>
          <w:p w:rsidR="00A40CE9" w:rsidRDefault="00A40CE9" w:rsidP="00A57112">
            <w:pPr>
              <w:jc w:val="center"/>
              <w:rPr>
                <w:rFonts w:ascii="Tahoma" w:hAnsi="Tahoma"/>
                <w:noProof/>
                <w:sz w:val="18"/>
                <w:szCs w:val="18"/>
              </w:rPr>
            </w:pPr>
          </w:p>
          <w:p w:rsidR="00007100" w:rsidRDefault="001769C1" w:rsidP="00A57112">
            <w:pPr>
              <w:jc w:val="center"/>
              <w:rPr>
                <w:rFonts w:ascii="Tahoma" w:hAnsi="Tahoma"/>
                <w:sz w:val="18"/>
                <w:szCs w:val="18"/>
              </w:rPr>
            </w:pPr>
            <w:r w:rsidRPr="00A57112">
              <w:rPr>
                <w:rFonts w:ascii="Tahoma" w:hAnsi="Tahoma"/>
                <w:noProof/>
                <w:sz w:val="18"/>
                <w:szCs w:val="18"/>
                <w:lang w:val="en-US"/>
              </w:rPr>
              <w:drawing>
                <wp:inline distT="0" distB="0" distL="0" distR="0">
                  <wp:extent cx="3465576" cy="302666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5576" cy="3026664"/>
                          </a:xfrm>
                          <a:prstGeom prst="rect">
                            <a:avLst/>
                          </a:prstGeom>
                          <a:noFill/>
                          <a:ln>
                            <a:noFill/>
                          </a:ln>
                        </pic:spPr>
                      </pic:pic>
                    </a:graphicData>
                  </a:graphic>
                </wp:inline>
              </w:drawing>
            </w:r>
          </w:p>
          <w:p w:rsidR="00007100" w:rsidRPr="00A57112" w:rsidRDefault="00007100" w:rsidP="001769C1">
            <w:pPr>
              <w:jc w:val="center"/>
              <w:rPr>
                <w:rFonts w:ascii="Tahoma" w:hAnsi="Tahoma"/>
                <w:sz w:val="18"/>
                <w:szCs w:val="18"/>
              </w:rPr>
            </w:pPr>
          </w:p>
        </w:tc>
        <w:tc>
          <w:tcPr>
            <w:tcW w:w="4400" w:type="dxa"/>
          </w:tcPr>
          <w:p w:rsidR="001769C1" w:rsidRDefault="001769C1" w:rsidP="001769C1">
            <w:pPr>
              <w:jc w:val="both"/>
              <w:rPr>
                <w:rFonts w:ascii="Tahoma" w:hAnsi="Tahoma"/>
                <w:b/>
                <w:szCs w:val="22"/>
              </w:rPr>
            </w:pPr>
          </w:p>
          <w:p w:rsidR="001769C1" w:rsidRDefault="001769C1" w:rsidP="001769C1">
            <w:pPr>
              <w:jc w:val="both"/>
              <w:rPr>
                <w:rFonts w:ascii="Tahoma" w:hAnsi="Tahoma"/>
                <w:b/>
                <w:szCs w:val="22"/>
              </w:rPr>
            </w:pPr>
          </w:p>
          <w:p w:rsidR="00FB2D9D" w:rsidRPr="00C36F27" w:rsidRDefault="00B418CE" w:rsidP="001769C1">
            <w:pPr>
              <w:jc w:val="both"/>
              <w:rPr>
                <w:rFonts w:ascii="Tahoma" w:hAnsi="Tahoma"/>
                <w:szCs w:val="22"/>
              </w:rPr>
            </w:pPr>
            <w:r w:rsidRPr="00FB2D9D">
              <w:rPr>
                <w:rFonts w:ascii="Tahoma" w:hAnsi="Tahoma"/>
                <w:b/>
                <w:szCs w:val="22"/>
              </w:rPr>
              <w:t xml:space="preserve">Последната состојба на бруто девизните резерви, на </w:t>
            </w:r>
            <w:r w:rsidR="00236AE9">
              <w:rPr>
                <w:rFonts w:ascii="Tahoma" w:hAnsi="Tahoma"/>
                <w:b/>
                <w:szCs w:val="22"/>
              </w:rPr>
              <w:t>31</w:t>
            </w:r>
            <w:r w:rsidRPr="00FB2D9D">
              <w:rPr>
                <w:rFonts w:ascii="Tahoma" w:hAnsi="Tahoma"/>
                <w:b/>
                <w:szCs w:val="22"/>
              </w:rPr>
              <w:t>.0</w:t>
            </w:r>
            <w:r w:rsidR="00236AE9">
              <w:rPr>
                <w:rFonts w:ascii="Tahoma" w:hAnsi="Tahoma"/>
                <w:b/>
                <w:szCs w:val="22"/>
              </w:rPr>
              <w:t>7</w:t>
            </w:r>
            <w:r w:rsidRPr="00FB2D9D">
              <w:rPr>
                <w:rFonts w:ascii="Tahoma" w:hAnsi="Tahoma"/>
                <w:b/>
                <w:szCs w:val="22"/>
              </w:rPr>
              <w:t xml:space="preserve">.2014 година, изнесува </w:t>
            </w:r>
            <w:r w:rsidRPr="00FB2D9D">
              <w:rPr>
                <w:rFonts w:ascii="Tahoma" w:hAnsi="Tahoma"/>
                <w:b/>
                <w:szCs w:val="22"/>
                <w:lang w:val="en-US"/>
              </w:rPr>
              <w:t>2</w:t>
            </w:r>
            <w:r w:rsidRPr="00FB2D9D">
              <w:rPr>
                <w:rFonts w:ascii="Tahoma" w:hAnsi="Tahoma"/>
                <w:b/>
                <w:szCs w:val="22"/>
              </w:rPr>
              <w:t>.</w:t>
            </w:r>
            <w:r w:rsidR="00236AE9">
              <w:rPr>
                <w:rFonts w:ascii="Tahoma" w:hAnsi="Tahoma"/>
                <w:b/>
                <w:szCs w:val="22"/>
              </w:rPr>
              <w:t xml:space="preserve">377 </w:t>
            </w:r>
            <w:r w:rsidRPr="00FB2D9D">
              <w:rPr>
                <w:rFonts w:ascii="Tahoma" w:hAnsi="Tahoma"/>
                <w:b/>
                <w:szCs w:val="22"/>
              </w:rPr>
              <w:t>милиони евра, што претставува раст од</w:t>
            </w:r>
            <w:r w:rsidRPr="00FB2D9D">
              <w:rPr>
                <w:rFonts w:ascii="Tahoma" w:hAnsi="Tahoma"/>
                <w:b/>
                <w:szCs w:val="22"/>
                <w:lang w:val="en-US"/>
              </w:rPr>
              <w:t xml:space="preserve"> </w:t>
            </w:r>
            <w:r>
              <w:rPr>
                <w:rFonts w:ascii="Tahoma" w:hAnsi="Tahoma"/>
                <w:b/>
                <w:szCs w:val="22"/>
                <w:lang w:val="en-US"/>
              </w:rPr>
              <w:t>5</w:t>
            </w:r>
            <w:r w:rsidR="00236AE9">
              <w:rPr>
                <w:rFonts w:ascii="Tahoma" w:hAnsi="Tahoma"/>
                <w:b/>
                <w:szCs w:val="22"/>
              </w:rPr>
              <w:t>0</w:t>
            </w:r>
            <w:r>
              <w:rPr>
                <w:rFonts w:ascii="Tahoma" w:hAnsi="Tahoma"/>
                <w:b/>
                <w:szCs w:val="22"/>
                <w:lang w:val="en-US"/>
              </w:rPr>
              <w:t>4</w:t>
            </w:r>
            <w:r w:rsidR="00236AE9">
              <w:rPr>
                <w:rFonts w:ascii="Tahoma" w:hAnsi="Tahoma"/>
                <w:b/>
                <w:szCs w:val="22"/>
              </w:rPr>
              <w:t>,2</w:t>
            </w:r>
            <w:r w:rsidRPr="00FB2D9D">
              <w:rPr>
                <w:rFonts w:ascii="Tahoma" w:hAnsi="Tahoma"/>
                <w:b/>
                <w:szCs w:val="22"/>
              </w:rPr>
              <w:t xml:space="preserve"> милион</w:t>
            </w:r>
            <w:r w:rsidR="00E50E1F">
              <w:rPr>
                <w:rFonts w:ascii="Tahoma" w:hAnsi="Tahoma"/>
                <w:b/>
                <w:szCs w:val="22"/>
              </w:rPr>
              <w:t>а</w:t>
            </w:r>
            <w:r w:rsidRPr="00FB2D9D">
              <w:rPr>
                <w:rFonts w:ascii="Tahoma" w:hAnsi="Tahoma"/>
                <w:b/>
                <w:szCs w:val="22"/>
              </w:rPr>
              <w:t xml:space="preserve"> евра во однос на крајот на вториот квартал од 2014 година. </w:t>
            </w:r>
            <w:r w:rsidRPr="00FB2D9D">
              <w:rPr>
                <w:rFonts w:ascii="Tahoma" w:hAnsi="Tahoma"/>
                <w:szCs w:val="22"/>
              </w:rPr>
              <w:t xml:space="preserve">Високиот раст на девизните резерви  во најголем дел се должи на  трансакциите за сметка на државата, односно на девизниот прилив од </w:t>
            </w:r>
            <w:proofErr w:type="spellStart"/>
            <w:r w:rsidRPr="00FB2D9D">
              <w:rPr>
                <w:rFonts w:ascii="Tahoma" w:hAnsi="Tahoma"/>
                <w:szCs w:val="22"/>
              </w:rPr>
              <w:t>евро-обврзницата</w:t>
            </w:r>
            <w:proofErr w:type="spellEnd"/>
            <w:r w:rsidRPr="00FB2D9D">
              <w:rPr>
                <w:rFonts w:ascii="Tahoma" w:hAnsi="Tahoma"/>
                <w:szCs w:val="22"/>
                <w:vertAlign w:val="superscript"/>
              </w:rPr>
              <w:footnoteReference w:id="12"/>
            </w:r>
            <w:r w:rsidRPr="00FB2D9D">
              <w:rPr>
                <w:rFonts w:ascii="Tahoma" w:hAnsi="Tahoma"/>
                <w:szCs w:val="22"/>
              </w:rPr>
              <w:t xml:space="preserve">, со дополнителен позитивен ефект од </w:t>
            </w:r>
            <w:proofErr w:type="spellStart"/>
            <w:r w:rsidRPr="00FB2D9D">
              <w:rPr>
                <w:rFonts w:ascii="Tahoma" w:hAnsi="Tahoma"/>
                <w:szCs w:val="22"/>
              </w:rPr>
              <w:t>нето-откупот</w:t>
            </w:r>
            <w:proofErr w:type="spellEnd"/>
            <w:r w:rsidRPr="00FB2D9D">
              <w:rPr>
                <w:rFonts w:ascii="Tahoma" w:hAnsi="Tahoma"/>
                <w:szCs w:val="22"/>
              </w:rPr>
              <w:t xml:space="preserve"> на девизи од страна на НБРМ на девизниот пазар.</w:t>
            </w:r>
          </w:p>
        </w:tc>
      </w:tr>
      <w:tr w:rsidR="00FB2D9D" w:rsidRPr="006B5729" w:rsidTr="00A57112">
        <w:trPr>
          <w:trHeight w:val="996"/>
        </w:trPr>
        <w:tc>
          <w:tcPr>
            <w:tcW w:w="6268" w:type="dxa"/>
          </w:tcPr>
          <w:p w:rsidR="00007100" w:rsidRDefault="00007100" w:rsidP="00A57112">
            <w:pPr>
              <w:jc w:val="center"/>
              <w:rPr>
                <w:rFonts w:ascii="Tahoma" w:hAnsi="Tahoma"/>
                <w:noProof/>
                <w:sz w:val="20"/>
                <w:szCs w:val="20"/>
              </w:rPr>
            </w:pPr>
          </w:p>
          <w:p w:rsidR="00007100" w:rsidRDefault="00007100" w:rsidP="00A57112">
            <w:pPr>
              <w:jc w:val="center"/>
              <w:rPr>
                <w:rFonts w:ascii="Tahoma" w:hAnsi="Tahoma"/>
                <w:noProof/>
                <w:sz w:val="20"/>
                <w:szCs w:val="20"/>
              </w:rPr>
            </w:pPr>
          </w:p>
          <w:p w:rsidR="00007100" w:rsidRDefault="00007100" w:rsidP="00A57112">
            <w:pPr>
              <w:jc w:val="center"/>
              <w:rPr>
                <w:rFonts w:ascii="Tahoma" w:hAnsi="Tahoma"/>
                <w:noProof/>
                <w:sz w:val="20"/>
                <w:szCs w:val="20"/>
              </w:rPr>
            </w:pPr>
          </w:p>
          <w:p w:rsidR="00007100" w:rsidRDefault="00007100" w:rsidP="00A57112">
            <w:pPr>
              <w:jc w:val="center"/>
              <w:rPr>
                <w:rFonts w:ascii="Tahoma" w:hAnsi="Tahoma"/>
                <w:noProof/>
                <w:sz w:val="20"/>
                <w:szCs w:val="20"/>
              </w:rPr>
            </w:pPr>
          </w:p>
          <w:p w:rsidR="00007100" w:rsidRDefault="00007100" w:rsidP="00A57112">
            <w:pPr>
              <w:jc w:val="center"/>
              <w:rPr>
                <w:rFonts w:ascii="Tahoma" w:hAnsi="Tahoma"/>
                <w:noProof/>
                <w:sz w:val="20"/>
                <w:szCs w:val="20"/>
              </w:rPr>
            </w:pPr>
          </w:p>
          <w:p w:rsidR="00007100" w:rsidRDefault="00FB2D9D" w:rsidP="00A57112">
            <w:pPr>
              <w:jc w:val="center"/>
              <w:rPr>
                <w:rFonts w:ascii="Tahoma" w:hAnsi="Tahoma"/>
                <w:sz w:val="18"/>
                <w:szCs w:val="18"/>
              </w:rPr>
            </w:pPr>
            <w:r>
              <w:rPr>
                <w:rFonts w:ascii="Tahoma" w:hAnsi="Tahoma"/>
                <w:noProof/>
                <w:sz w:val="20"/>
                <w:szCs w:val="20"/>
                <w:lang w:val="en-US"/>
              </w:rPr>
              <w:drawing>
                <wp:inline distT="0" distB="0" distL="0" distR="0">
                  <wp:extent cx="3767328" cy="2670048"/>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7328" cy="2670048"/>
                          </a:xfrm>
                          <a:prstGeom prst="rect">
                            <a:avLst/>
                          </a:prstGeom>
                          <a:noFill/>
                          <a:ln>
                            <a:noFill/>
                          </a:ln>
                        </pic:spPr>
                      </pic:pic>
                    </a:graphicData>
                  </a:graphic>
                </wp:inline>
              </w:drawing>
            </w:r>
          </w:p>
        </w:tc>
        <w:tc>
          <w:tcPr>
            <w:tcW w:w="4400" w:type="dxa"/>
            <w:vAlign w:val="center"/>
          </w:tcPr>
          <w:p w:rsidR="00171CEC" w:rsidRDefault="00171CEC" w:rsidP="00FB2D9D">
            <w:pPr>
              <w:jc w:val="both"/>
              <w:rPr>
                <w:rFonts w:ascii="Tahoma" w:hAnsi="Tahoma"/>
                <w:szCs w:val="22"/>
              </w:rPr>
            </w:pPr>
          </w:p>
          <w:p w:rsidR="00FB2D9D" w:rsidRPr="00FB2D9D" w:rsidRDefault="00FB2D9D" w:rsidP="00FB2D9D">
            <w:pPr>
              <w:jc w:val="both"/>
              <w:rPr>
                <w:rFonts w:ascii="Tahoma" w:hAnsi="Tahoma"/>
                <w:szCs w:val="22"/>
                <w:lang w:val="en-US"/>
              </w:rPr>
            </w:pPr>
            <w:r w:rsidRPr="00FB2D9D">
              <w:rPr>
                <w:rFonts w:ascii="Tahoma" w:hAnsi="Tahoma"/>
                <w:szCs w:val="22"/>
              </w:rPr>
              <w:t xml:space="preserve">Во текот на јули 2014 година, на </w:t>
            </w:r>
            <w:r w:rsidRPr="00FB2D9D">
              <w:rPr>
                <w:rFonts w:ascii="Tahoma" w:hAnsi="Tahoma"/>
                <w:b/>
                <w:szCs w:val="22"/>
              </w:rPr>
              <w:t>девизниот пазар</w:t>
            </w:r>
            <w:r w:rsidRPr="00FB2D9D">
              <w:rPr>
                <w:rFonts w:ascii="Tahoma" w:hAnsi="Tahoma"/>
                <w:szCs w:val="22"/>
              </w:rPr>
              <w:t xml:space="preserve"> кај банките, </w:t>
            </w:r>
            <w:r w:rsidR="00E50E1F">
              <w:rPr>
                <w:rFonts w:ascii="Tahoma" w:hAnsi="Tahoma"/>
                <w:szCs w:val="22"/>
              </w:rPr>
              <w:t xml:space="preserve">е </w:t>
            </w:r>
            <w:r w:rsidRPr="00FB2D9D">
              <w:rPr>
                <w:rFonts w:ascii="Tahoma" w:hAnsi="Tahoma"/>
                <w:szCs w:val="22"/>
              </w:rPr>
              <w:t xml:space="preserve">остварен </w:t>
            </w:r>
            <w:proofErr w:type="spellStart"/>
            <w:r w:rsidRPr="00FB2D9D">
              <w:rPr>
                <w:rFonts w:ascii="Tahoma" w:hAnsi="Tahoma"/>
                <w:szCs w:val="22"/>
              </w:rPr>
              <w:t>нето-откуп</w:t>
            </w:r>
            <w:proofErr w:type="spellEnd"/>
            <w:r w:rsidRPr="00FB2D9D">
              <w:rPr>
                <w:rFonts w:ascii="Tahoma" w:hAnsi="Tahoma"/>
                <w:szCs w:val="22"/>
              </w:rPr>
              <w:t xml:space="preserve"> од 1,3 милиони евра,  наспроти </w:t>
            </w:r>
            <w:proofErr w:type="spellStart"/>
            <w:r w:rsidRPr="00FB2D9D">
              <w:rPr>
                <w:rFonts w:ascii="Tahoma" w:hAnsi="Tahoma"/>
                <w:szCs w:val="22"/>
              </w:rPr>
              <w:t>нето-продажбата</w:t>
            </w:r>
            <w:proofErr w:type="spellEnd"/>
            <w:r w:rsidRPr="00FB2D9D">
              <w:rPr>
                <w:rFonts w:ascii="Tahoma" w:hAnsi="Tahoma"/>
                <w:szCs w:val="22"/>
              </w:rPr>
              <w:t xml:space="preserve">  од  7 милиони евра, во истиот период минатата година. Ваквата годишна промена е комбиниран ефект од годишниот раст на понудата и падот на побарувачката на девизи (1,7% и 1,1%, соодветно).</w:t>
            </w:r>
          </w:p>
          <w:p w:rsidR="00FB2D9D" w:rsidRPr="00FB2D9D" w:rsidRDefault="00FB2D9D" w:rsidP="00FB2D9D">
            <w:pPr>
              <w:jc w:val="both"/>
              <w:rPr>
                <w:rFonts w:ascii="Tahoma" w:hAnsi="Tahoma"/>
                <w:szCs w:val="22"/>
                <w:lang w:val="en-US"/>
              </w:rPr>
            </w:pPr>
          </w:p>
          <w:p w:rsidR="00FB2D9D" w:rsidRPr="00FB2D9D" w:rsidRDefault="00FB2D9D" w:rsidP="00FB2D9D">
            <w:pPr>
              <w:jc w:val="both"/>
              <w:rPr>
                <w:rFonts w:ascii="Tahoma" w:hAnsi="Tahoma"/>
                <w:szCs w:val="22"/>
              </w:rPr>
            </w:pPr>
            <w:r w:rsidRPr="00FB2D9D">
              <w:rPr>
                <w:rFonts w:ascii="Tahoma" w:hAnsi="Tahoma"/>
                <w:szCs w:val="22"/>
              </w:rPr>
              <w:t xml:space="preserve">Анализата по одделни компоненти покажува дека подобрите остварувања на годишна основа, главно се должат на  пониската </w:t>
            </w:r>
            <w:proofErr w:type="spellStart"/>
            <w:r w:rsidRPr="00FB2D9D">
              <w:rPr>
                <w:rFonts w:ascii="Tahoma" w:hAnsi="Tahoma"/>
                <w:szCs w:val="22"/>
              </w:rPr>
              <w:t>нето-продажба</w:t>
            </w:r>
            <w:proofErr w:type="spellEnd"/>
            <w:r w:rsidRPr="00FB2D9D">
              <w:rPr>
                <w:rFonts w:ascii="Tahoma" w:hAnsi="Tahoma"/>
                <w:szCs w:val="22"/>
              </w:rPr>
              <w:t xml:space="preserve"> на фирмите споредено со </w:t>
            </w:r>
            <w:proofErr w:type="spellStart"/>
            <w:r w:rsidRPr="00FB2D9D">
              <w:rPr>
                <w:rFonts w:ascii="Tahoma" w:hAnsi="Tahoma"/>
                <w:szCs w:val="22"/>
              </w:rPr>
              <w:t>нето-продажбата</w:t>
            </w:r>
            <w:proofErr w:type="spellEnd"/>
            <w:r w:rsidRPr="00FB2D9D">
              <w:rPr>
                <w:rFonts w:ascii="Tahoma" w:hAnsi="Tahoma"/>
                <w:szCs w:val="22"/>
              </w:rPr>
              <w:t xml:space="preserve"> кај оваа категорија забележана во истиот период од претходната година.</w:t>
            </w:r>
            <w:r w:rsidRPr="00FB2D9D" w:rsidDel="00462E5E">
              <w:rPr>
                <w:rFonts w:ascii="Tahoma" w:hAnsi="Tahoma"/>
                <w:szCs w:val="22"/>
              </w:rPr>
              <w:t xml:space="preserve"> </w:t>
            </w:r>
          </w:p>
          <w:p w:rsidR="00FB2D9D" w:rsidRPr="006B5729" w:rsidRDefault="00FB2D9D" w:rsidP="00272F1D">
            <w:pPr>
              <w:jc w:val="both"/>
              <w:rPr>
                <w:rFonts w:ascii="Tahoma" w:hAnsi="Tahoma"/>
              </w:rPr>
            </w:pPr>
          </w:p>
        </w:tc>
      </w:tr>
    </w:tbl>
    <w:p w:rsidR="009E5F35" w:rsidRDefault="009E5F35">
      <w:r>
        <w:br w:type="page"/>
      </w:r>
    </w:p>
    <w:p w:rsidR="00EB13D6" w:rsidRPr="00ED210C" w:rsidRDefault="00EB13D6" w:rsidP="003A54D2">
      <w:pPr>
        <w:rPr>
          <w:rFonts w:ascii="Tahoma" w:hAnsi="Tahoma"/>
          <w:szCs w:val="22"/>
          <w:highlight w:val="yellow"/>
          <w:lang w:val="en-US"/>
        </w:rPr>
        <w:sectPr w:rsidR="00EB13D6" w:rsidRPr="00ED210C" w:rsidSect="00A52B52">
          <w:headerReference w:type="default" r:id="rId43"/>
          <w:pgSz w:w="11907" w:h="16839" w:code="9"/>
          <w:pgMar w:top="1265" w:right="1275" w:bottom="720" w:left="720" w:header="720" w:footer="720" w:gutter="0"/>
          <w:cols w:space="284"/>
          <w:docGrid w:linePitch="360"/>
        </w:sectPr>
      </w:pPr>
    </w:p>
    <w:tbl>
      <w:tblPr>
        <w:tblpPr w:leftFromText="180" w:rightFromText="180" w:vertAnchor="text" w:horzAnchor="margin" w:tblpY="2"/>
        <w:tblOverlap w:val="never"/>
        <w:tblW w:w="10731" w:type="dxa"/>
        <w:tblLayout w:type="fixed"/>
        <w:tblLook w:val="04A0"/>
      </w:tblPr>
      <w:tblGrid>
        <w:gridCol w:w="6487"/>
        <w:gridCol w:w="4244"/>
      </w:tblGrid>
      <w:tr w:rsidR="001012C6" w:rsidRPr="007C6D1F" w:rsidTr="009A3F89">
        <w:trPr>
          <w:trHeight w:val="567"/>
        </w:trPr>
        <w:tc>
          <w:tcPr>
            <w:tcW w:w="6487" w:type="dxa"/>
          </w:tcPr>
          <w:p w:rsidR="001012C6" w:rsidRDefault="001012C6" w:rsidP="001012C6">
            <w:pPr>
              <w:rPr>
                <w:rFonts w:ascii="Tahoma" w:hAnsi="Tahoma"/>
                <w:b/>
                <w:sz w:val="20"/>
                <w:szCs w:val="20"/>
              </w:rPr>
            </w:pPr>
          </w:p>
          <w:p w:rsidR="00FE4959" w:rsidRDefault="00FE4959" w:rsidP="001012C6">
            <w:pPr>
              <w:rPr>
                <w:rFonts w:ascii="Tahoma" w:hAnsi="Tahoma"/>
                <w:b/>
                <w:sz w:val="20"/>
                <w:szCs w:val="20"/>
              </w:rPr>
            </w:pPr>
          </w:p>
          <w:p w:rsidR="004A2FBE" w:rsidRDefault="004A2FBE" w:rsidP="001012C6">
            <w:pPr>
              <w:rPr>
                <w:rFonts w:ascii="Tahoma" w:hAnsi="Tahoma"/>
                <w:b/>
                <w:sz w:val="20"/>
                <w:szCs w:val="20"/>
              </w:rPr>
            </w:pPr>
          </w:p>
          <w:p w:rsidR="004A2FBE" w:rsidRDefault="004A2FBE" w:rsidP="001012C6">
            <w:pPr>
              <w:rPr>
                <w:rFonts w:ascii="Tahoma" w:hAnsi="Tahoma"/>
                <w:b/>
                <w:sz w:val="20"/>
                <w:szCs w:val="20"/>
              </w:rPr>
            </w:pPr>
          </w:p>
          <w:p w:rsidR="004A2FBE" w:rsidRDefault="004A2FBE" w:rsidP="001012C6">
            <w:pPr>
              <w:rPr>
                <w:rFonts w:ascii="Tahoma" w:hAnsi="Tahoma"/>
                <w:b/>
                <w:sz w:val="20"/>
                <w:szCs w:val="20"/>
              </w:rPr>
            </w:pPr>
          </w:p>
          <w:p w:rsidR="004A2FBE" w:rsidRDefault="004A2FBE" w:rsidP="001012C6">
            <w:pPr>
              <w:rPr>
                <w:rFonts w:ascii="Tahoma" w:hAnsi="Tahoma"/>
                <w:b/>
                <w:sz w:val="20"/>
                <w:szCs w:val="20"/>
              </w:rPr>
            </w:pPr>
          </w:p>
          <w:p w:rsidR="00FE4959" w:rsidRDefault="00AF0593" w:rsidP="001012C6">
            <w:pPr>
              <w:rPr>
                <w:rFonts w:ascii="Tahoma" w:hAnsi="Tahoma"/>
                <w:b/>
                <w:sz w:val="20"/>
                <w:szCs w:val="20"/>
              </w:rPr>
            </w:pPr>
            <w:r>
              <w:rPr>
                <w:rFonts w:ascii="Tahoma" w:hAnsi="Tahoma"/>
                <w:b/>
                <w:noProof/>
                <w:sz w:val="20"/>
                <w:szCs w:val="20"/>
                <w:lang w:val="en-US"/>
              </w:rPr>
              <w:drawing>
                <wp:inline distT="0" distB="0" distL="0" distR="0">
                  <wp:extent cx="3771900" cy="3362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1900" cy="3362325"/>
                          </a:xfrm>
                          <a:prstGeom prst="rect">
                            <a:avLst/>
                          </a:prstGeom>
                          <a:noFill/>
                          <a:ln>
                            <a:noFill/>
                          </a:ln>
                        </pic:spPr>
                      </pic:pic>
                    </a:graphicData>
                  </a:graphic>
                </wp:inline>
              </w:drawing>
            </w:r>
          </w:p>
          <w:p w:rsidR="00FE4959" w:rsidRDefault="00FE4959" w:rsidP="001012C6">
            <w:pPr>
              <w:rPr>
                <w:rFonts w:ascii="Tahoma" w:hAnsi="Tahoma"/>
                <w:b/>
                <w:sz w:val="20"/>
                <w:szCs w:val="20"/>
              </w:rPr>
            </w:pPr>
          </w:p>
          <w:p w:rsidR="00FE4959" w:rsidRDefault="00FE4959" w:rsidP="001012C6">
            <w:pPr>
              <w:rPr>
                <w:rFonts w:ascii="Tahoma" w:hAnsi="Tahoma"/>
                <w:b/>
                <w:sz w:val="20"/>
                <w:szCs w:val="20"/>
              </w:rPr>
            </w:pPr>
          </w:p>
          <w:p w:rsidR="00FE4959" w:rsidRDefault="00FE4959" w:rsidP="001012C6">
            <w:pPr>
              <w:rPr>
                <w:rFonts w:ascii="Tahoma" w:hAnsi="Tahoma"/>
                <w:b/>
                <w:sz w:val="20"/>
                <w:szCs w:val="20"/>
              </w:rPr>
            </w:pPr>
          </w:p>
          <w:p w:rsidR="00FE4959" w:rsidRPr="007C6D1F" w:rsidRDefault="00FE4959" w:rsidP="001012C6">
            <w:pPr>
              <w:rPr>
                <w:rFonts w:ascii="Tahoma" w:hAnsi="Tahoma"/>
                <w:b/>
                <w:sz w:val="20"/>
                <w:szCs w:val="20"/>
              </w:rPr>
            </w:pPr>
          </w:p>
        </w:tc>
        <w:tc>
          <w:tcPr>
            <w:tcW w:w="4244" w:type="dxa"/>
            <w:vAlign w:val="center"/>
          </w:tcPr>
          <w:p w:rsidR="00B50BE9" w:rsidRDefault="00B50BE9" w:rsidP="00FE4959">
            <w:pPr>
              <w:jc w:val="both"/>
              <w:rPr>
                <w:rFonts w:ascii="Tahoma" w:hAnsi="Tahoma"/>
                <w:szCs w:val="22"/>
              </w:rPr>
            </w:pPr>
          </w:p>
          <w:p w:rsidR="00FE4959" w:rsidRPr="00FE4959" w:rsidRDefault="00FE4959" w:rsidP="00FE4959">
            <w:pPr>
              <w:jc w:val="both"/>
              <w:rPr>
                <w:rFonts w:ascii="Tahoma" w:hAnsi="Tahoma"/>
                <w:szCs w:val="22"/>
              </w:rPr>
            </w:pPr>
            <w:r w:rsidRPr="00FE4959">
              <w:rPr>
                <w:rFonts w:ascii="Tahoma" w:hAnsi="Tahoma"/>
                <w:szCs w:val="22"/>
              </w:rPr>
              <w:t>Податоците заклучно со јуни покажуваат мало креирање ликвидност преку монетарните инструменти во однос на крајот од првиот квартал, наспроти очекуваното мало повлекување ликвидност со априлската проекција...</w:t>
            </w:r>
          </w:p>
          <w:p w:rsidR="00FE4959" w:rsidRPr="00FE4959" w:rsidRDefault="00FE4959" w:rsidP="00FE4959">
            <w:pPr>
              <w:jc w:val="both"/>
              <w:rPr>
                <w:rFonts w:ascii="Tahoma" w:hAnsi="Tahoma"/>
                <w:szCs w:val="22"/>
              </w:rPr>
            </w:pPr>
          </w:p>
          <w:p w:rsidR="00FE4959" w:rsidRPr="00FE4959" w:rsidRDefault="00FE4959" w:rsidP="00FE4959">
            <w:pPr>
              <w:jc w:val="both"/>
              <w:rPr>
                <w:rFonts w:ascii="Tahoma" w:hAnsi="Tahoma"/>
                <w:szCs w:val="22"/>
              </w:rPr>
            </w:pPr>
            <w:r w:rsidRPr="00FE4959">
              <w:rPr>
                <w:rFonts w:ascii="Tahoma" w:hAnsi="Tahoma"/>
                <w:szCs w:val="22"/>
              </w:rPr>
              <w:t>...во услови на поголем квартален пад на нето девизната актива на НБРМ споредено со  априлската проекција...</w:t>
            </w:r>
          </w:p>
          <w:p w:rsidR="00FE4959" w:rsidRPr="00FE4959" w:rsidRDefault="00FE4959" w:rsidP="00FE4959">
            <w:pPr>
              <w:jc w:val="both"/>
              <w:rPr>
                <w:rFonts w:ascii="Tahoma" w:hAnsi="Tahoma"/>
                <w:szCs w:val="22"/>
              </w:rPr>
            </w:pPr>
          </w:p>
          <w:p w:rsidR="008F1338" w:rsidRDefault="00FE4959" w:rsidP="00FE4959">
            <w:pPr>
              <w:jc w:val="both"/>
              <w:rPr>
                <w:rFonts w:ascii="Tahoma" w:hAnsi="Tahoma"/>
                <w:szCs w:val="22"/>
              </w:rPr>
            </w:pPr>
            <w:r w:rsidRPr="00FE4959">
              <w:rPr>
                <w:rFonts w:ascii="Tahoma" w:hAnsi="Tahoma"/>
                <w:szCs w:val="22"/>
              </w:rPr>
              <w:t xml:space="preserve">...додека </w:t>
            </w:r>
            <w:r w:rsidR="00AB4F5A">
              <w:rPr>
                <w:rFonts w:ascii="Tahoma" w:hAnsi="Tahoma"/>
                <w:szCs w:val="22"/>
              </w:rPr>
              <w:t>поголема ликвидност од проектира</w:t>
            </w:r>
            <w:r w:rsidR="009C2A51">
              <w:rPr>
                <w:rFonts w:ascii="Tahoma" w:hAnsi="Tahoma"/>
                <w:szCs w:val="22"/>
              </w:rPr>
              <w:t>ната</w:t>
            </w:r>
            <w:r w:rsidR="00AB4F5A">
              <w:rPr>
                <w:rFonts w:ascii="Tahoma" w:hAnsi="Tahoma"/>
                <w:szCs w:val="22"/>
              </w:rPr>
              <w:t xml:space="preserve"> </w:t>
            </w:r>
            <w:r w:rsidR="009C2A51" w:rsidRPr="00FE4959">
              <w:rPr>
                <w:rFonts w:ascii="Tahoma" w:hAnsi="Tahoma"/>
                <w:szCs w:val="22"/>
              </w:rPr>
              <w:t>за второто тримесечје</w:t>
            </w:r>
            <w:r w:rsidR="009C2A51">
              <w:rPr>
                <w:rFonts w:ascii="Tahoma" w:hAnsi="Tahoma"/>
                <w:szCs w:val="22"/>
              </w:rPr>
              <w:t xml:space="preserve"> </w:t>
            </w:r>
            <w:r w:rsidR="00AB4F5A">
              <w:rPr>
                <w:rFonts w:ascii="Tahoma" w:hAnsi="Tahoma"/>
                <w:szCs w:val="22"/>
              </w:rPr>
              <w:t xml:space="preserve">беше креирана </w:t>
            </w:r>
            <w:r w:rsidRPr="00FE4959">
              <w:rPr>
                <w:rFonts w:ascii="Tahoma" w:hAnsi="Tahoma"/>
                <w:szCs w:val="22"/>
              </w:rPr>
              <w:t>преку вкупните депозити на државата кај НБРМ.</w:t>
            </w:r>
          </w:p>
          <w:p w:rsidR="00A40CE9" w:rsidRDefault="00A40CE9" w:rsidP="00FE4959">
            <w:pPr>
              <w:jc w:val="both"/>
              <w:rPr>
                <w:rFonts w:ascii="Tahoma" w:hAnsi="Tahoma"/>
                <w:szCs w:val="22"/>
              </w:rPr>
            </w:pPr>
          </w:p>
          <w:p w:rsidR="008F1338" w:rsidRDefault="004A2FBE" w:rsidP="00CA5596">
            <w:pPr>
              <w:jc w:val="both"/>
            </w:pPr>
            <w:r>
              <w:rPr>
                <w:rFonts w:ascii="Tahoma" w:hAnsi="Tahoma"/>
              </w:rPr>
              <w:t>В</w:t>
            </w:r>
            <w:r w:rsidR="008F1338" w:rsidRPr="00A26B71">
              <w:rPr>
                <w:rFonts w:ascii="Tahoma" w:hAnsi="Tahoma"/>
              </w:rPr>
              <w:t>о второто тримесечје, најголем</w:t>
            </w:r>
            <w:r w:rsidR="00362E34">
              <w:rPr>
                <w:rFonts w:ascii="Tahoma" w:hAnsi="Tahoma"/>
              </w:rPr>
              <w:t>иот</w:t>
            </w:r>
            <w:r w:rsidR="008F1338" w:rsidRPr="00A26B71">
              <w:rPr>
                <w:rFonts w:ascii="Tahoma" w:hAnsi="Tahoma"/>
              </w:rPr>
              <w:t xml:space="preserve"> дел од </w:t>
            </w:r>
            <w:r w:rsidR="00B83266" w:rsidRPr="00FD029D">
              <w:rPr>
                <w:rFonts w:ascii="Tahoma" w:hAnsi="Tahoma"/>
              </w:rPr>
              <w:t>буџетските потреби за финансирање</w:t>
            </w:r>
            <w:r w:rsidR="008F1338" w:rsidRPr="00A26B71">
              <w:rPr>
                <w:rFonts w:ascii="Tahoma" w:hAnsi="Tahoma"/>
              </w:rPr>
              <w:t xml:space="preserve"> беа покриени со користење средства од државните депозити. Притоа, најновите податоци за буџетското салдо покажуваат </w:t>
            </w:r>
            <w:r w:rsidR="008F1338">
              <w:rPr>
                <w:rFonts w:ascii="Tahoma" w:hAnsi="Tahoma"/>
              </w:rPr>
              <w:t xml:space="preserve">реализација на буџетски дефицит </w:t>
            </w:r>
            <w:r w:rsidR="008F1338" w:rsidRPr="00A26B71">
              <w:rPr>
                <w:rFonts w:ascii="Tahoma" w:hAnsi="Tahoma"/>
              </w:rPr>
              <w:t xml:space="preserve">од 14.758 милиони денари во првата половина од годината, или 80,8% од предвидениот буџетски дефицит за 2014 година. </w:t>
            </w:r>
            <w:r w:rsidR="00533AA9">
              <w:rPr>
                <w:rFonts w:ascii="Tahoma" w:hAnsi="Tahoma"/>
              </w:rPr>
              <w:t>Во јули</w:t>
            </w:r>
            <w:r w:rsidR="008F1338">
              <w:rPr>
                <w:rFonts w:ascii="Tahoma" w:hAnsi="Tahoma"/>
              </w:rPr>
              <w:t xml:space="preserve"> Владата усвои </w:t>
            </w:r>
            <w:proofErr w:type="spellStart"/>
            <w:r w:rsidR="008F1338">
              <w:rPr>
                <w:rFonts w:ascii="Tahoma" w:hAnsi="Tahoma"/>
              </w:rPr>
              <w:t>предлог-</w:t>
            </w:r>
            <w:r w:rsidR="008F1338" w:rsidRPr="00A26B71">
              <w:rPr>
                <w:rFonts w:ascii="Tahoma" w:hAnsi="Tahoma"/>
              </w:rPr>
              <w:t>ребаланс</w:t>
            </w:r>
            <w:proofErr w:type="spellEnd"/>
            <w:r w:rsidR="008F1338" w:rsidRPr="00A26B71">
              <w:rPr>
                <w:rFonts w:ascii="Tahoma" w:hAnsi="Tahoma"/>
              </w:rPr>
              <w:t xml:space="preserve"> на </w:t>
            </w:r>
            <w:r w:rsidR="00362E34">
              <w:rPr>
                <w:rFonts w:ascii="Tahoma" w:hAnsi="Tahoma"/>
              </w:rPr>
              <w:t>Б</w:t>
            </w:r>
            <w:r w:rsidR="008F1338" w:rsidRPr="00A26B71">
              <w:rPr>
                <w:rFonts w:ascii="Tahoma" w:hAnsi="Tahoma"/>
              </w:rPr>
              <w:t xml:space="preserve">уџетот со којшто се врши надолна корекција и на приходите, а со помал интензитет и на буџетските трошења. Во вакви околности и предвидениот буџетски дефицит за 2014 година е поместен во нагорна насока, при што </w:t>
            </w:r>
            <w:r w:rsidR="008F1338">
              <w:rPr>
                <w:rFonts w:ascii="Tahoma" w:hAnsi="Tahoma"/>
              </w:rPr>
              <w:t xml:space="preserve">се очекува буџетски дефицит </w:t>
            </w:r>
            <w:r w:rsidR="00533AA9">
              <w:rPr>
                <w:rFonts w:ascii="Tahoma" w:hAnsi="Tahoma"/>
              </w:rPr>
              <w:t>од 3,9% од БДП (3,5% од БДП во иницијалниот Буџет)</w:t>
            </w:r>
            <w:r w:rsidR="008F1338" w:rsidRPr="00A26B71">
              <w:rPr>
                <w:rFonts w:ascii="Tahoma" w:hAnsi="Tahoma"/>
              </w:rPr>
              <w:t xml:space="preserve">. </w:t>
            </w:r>
            <w:r w:rsidR="00CA5596">
              <w:rPr>
                <w:rFonts w:ascii="Tahoma" w:hAnsi="Tahoma"/>
              </w:rPr>
              <w:t xml:space="preserve">Ребалансот предвидува и </w:t>
            </w:r>
            <w:r w:rsidR="008F1338" w:rsidRPr="00A26B71">
              <w:rPr>
                <w:rFonts w:ascii="Tahoma" w:hAnsi="Tahoma"/>
              </w:rPr>
              <w:t xml:space="preserve"> </w:t>
            </w:r>
            <w:r w:rsidR="00CA5596">
              <w:rPr>
                <w:rFonts w:ascii="Tahoma" w:hAnsi="Tahoma"/>
              </w:rPr>
              <w:t>променета структура на финансирање на буџетскиот дефицит во насока на зголемено учество на странските извори на финансирање</w:t>
            </w:r>
            <w:r w:rsidR="008F1338" w:rsidRPr="00A26B71">
              <w:rPr>
                <w:rFonts w:ascii="Tahoma" w:hAnsi="Tahoma"/>
              </w:rPr>
              <w:t xml:space="preserve">. </w:t>
            </w:r>
            <w:r w:rsidR="00CA5596">
              <w:rPr>
                <w:rFonts w:ascii="Tahoma" w:hAnsi="Tahoma"/>
              </w:rPr>
              <w:t>Притоа</w:t>
            </w:r>
            <w:r w:rsidR="008F1338" w:rsidRPr="00A26B71">
              <w:rPr>
                <w:rFonts w:ascii="Tahoma" w:hAnsi="Tahoma"/>
              </w:rPr>
              <w:t xml:space="preserve">, веќе во </w:t>
            </w:r>
            <w:r w:rsidR="00CA5596">
              <w:rPr>
                <w:rFonts w:ascii="Tahoma" w:hAnsi="Tahoma"/>
              </w:rPr>
              <w:t>јули</w:t>
            </w:r>
            <w:r w:rsidR="008F1338" w:rsidRPr="00A26B71">
              <w:rPr>
                <w:rFonts w:ascii="Tahoma" w:hAnsi="Tahoma"/>
              </w:rPr>
              <w:t xml:space="preserve"> државата се задолжи на меѓународниот пазар на капитал преку издавање </w:t>
            </w:r>
            <w:proofErr w:type="spellStart"/>
            <w:r w:rsidR="008F1338" w:rsidRPr="00A26B71">
              <w:rPr>
                <w:rFonts w:ascii="Tahoma" w:hAnsi="Tahoma"/>
              </w:rPr>
              <w:t>евро-обврзница</w:t>
            </w:r>
            <w:proofErr w:type="spellEnd"/>
            <w:r w:rsidR="00CA5596">
              <w:rPr>
                <w:rFonts w:ascii="Tahoma" w:hAnsi="Tahoma"/>
              </w:rPr>
              <w:t xml:space="preserve"> во вкупен износ од 500 милиони евра</w:t>
            </w:r>
            <w:r w:rsidR="00362E34">
              <w:rPr>
                <w:rFonts w:ascii="Tahoma" w:hAnsi="Tahoma"/>
              </w:rPr>
              <w:t>, со што</w:t>
            </w:r>
            <w:r w:rsidR="008F1338" w:rsidRPr="00A26B71">
              <w:rPr>
                <w:rFonts w:ascii="Tahoma" w:hAnsi="Tahoma"/>
              </w:rPr>
              <w:t xml:space="preserve"> </w:t>
            </w:r>
            <w:r w:rsidR="00362E34">
              <w:rPr>
                <w:rFonts w:ascii="Tahoma" w:hAnsi="Tahoma"/>
              </w:rPr>
              <w:t xml:space="preserve">им </w:t>
            </w:r>
            <w:r w:rsidR="008F1338" w:rsidRPr="00A26B71">
              <w:rPr>
                <w:rFonts w:ascii="Tahoma" w:hAnsi="Tahoma"/>
              </w:rPr>
              <w:t>се обезбеди дополнителна поддршка на девизните резерви</w:t>
            </w:r>
            <w:r w:rsidR="00B62541">
              <w:rPr>
                <w:rFonts w:ascii="Tahoma" w:hAnsi="Tahoma"/>
              </w:rPr>
              <w:t>.</w:t>
            </w:r>
            <w:r w:rsidR="008F1338" w:rsidRPr="00A26B71">
              <w:rPr>
                <w:rFonts w:ascii="Tahoma" w:hAnsi="Tahoma"/>
              </w:rPr>
              <w:t xml:space="preserve"> </w:t>
            </w:r>
          </w:p>
          <w:p w:rsidR="008F1338" w:rsidRPr="00FB57AA" w:rsidRDefault="008F1338" w:rsidP="006D60B5">
            <w:pPr>
              <w:jc w:val="both"/>
              <w:rPr>
                <w:rFonts w:ascii="Tahoma" w:hAnsi="Tahoma"/>
                <w:b/>
                <w:szCs w:val="22"/>
              </w:rPr>
            </w:pPr>
          </w:p>
        </w:tc>
      </w:tr>
      <w:tr w:rsidR="001012C6" w:rsidRPr="007C6D1F" w:rsidTr="009A3F89">
        <w:trPr>
          <w:trHeight w:val="174"/>
        </w:trPr>
        <w:tc>
          <w:tcPr>
            <w:tcW w:w="6487" w:type="dxa"/>
          </w:tcPr>
          <w:p w:rsidR="001012C6" w:rsidRDefault="001012C6" w:rsidP="001012C6">
            <w:pPr>
              <w:rPr>
                <w:rFonts w:ascii="Tahoma" w:hAnsi="Tahoma"/>
                <w:b/>
                <w:noProof/>
                <w:sz w:val="20"/>
                <w:szCs w:val="20"/>
              </w:rPr>
            </w:pPr>
          </w:p>
          <w:p w:rsidR="00FE4959" w:rsidRDefault="00FE4959" w:rsidP="00A60D26">
            <w:pPr>
              <w:jc w:val="center"/>
              <w:rPr>
                <w:rFonts w:ascii="Tahoma" w:hAnsi="Tahoma"/>
                <w:b/>
                <w:noProof/>
                <w:sz w:val="20"/>
                <w:szCs w:val="20"/>
              </w:rPr>
            </w:pPr>
            <w:r>
              <w:rPr>
                <w:rFonts w:ascii="Tahoma" w:hAnsi="Tahoma"/>
                <w:noProof/>
                <w:szCs w:val="22"/>
                <w:lang w:val="en-US"/>
              </w:rPr>
              <w:drawing>
                <wp:anchor distT="0" distB="0" distL="114300" distR="114300" simplePos="0" relativeHeight="251665408" behindDoc="0" locked="0" layoutInCell="1" allowOverlap="1">
                  <wp:simplePos x="0" y="0"/>
                  <wp:positionH relativeFrom="column">
                    <wp:posOffset>360045</wp:posOffset>
                  </wp:positionH>
                  <wp:positionV relativeFrom="paragraph">
                    <wp:posOffset>-8417560</wp:posOffset>
                  </wp:positionV>
                  <wp:extent cx="3259455" cy="276669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9455" cy="2766695"/>
                          </a:xfrm>
                          <a:prstGeom prst="rect">
                            <a:avLst/>
                          </a:prstGeom>
                          <a:noFill/>
                          <a:ln>
                            <a:noFill/>
                          </a:ln>
                        </pic:spPr>
                      </pic:pic>
                    </a:graphicData>
                  </a:graphic>
                </wp:anchor>
              </w:drawing>
            </w:r>
          </w:p>
          <w:p w:rsidR="00FE4959" w:rsidRDefault="00FE4959" w:rsidP="001012C6">
            <w:pPr>
              <w:rPr>
                <w:rFonts w:ascii="Tahoma" w:hAnsi="Tahoma"/>
                <w:b/>
                <w:noProof/>
                <w:sz w:val="20"/>
                <w:szCs w:val="20"/>
              </w:rPr>
            </w:pPr>
          </w:p>
          <w:p w:rsidR="00FE4959" w:rsidRDefault="00FE4959" w:rsidP="001012C6">
            <w:pPr>
              <w:rPr>
                <w:rFonts w:ascii="Tahoma" w:hAnsi="Tahoma"/>
                <w:b/>
                <w:noProof/>
                <w:sz w:val="20"/>
                <w:szCs w:val="20"/>
              </w:rPr>
            </w:pPr>
          </w:p>
          <w:p w:rsidR="00FE4959" w:rsidRPr="00714682" w:rsidRDefault="00FE4959" w:rsidP="001012C6">
            <w:pPr>
              <w:rPr>
                <w:rFonts w:ascii="Tahoma" w:hAnsi="Tahoma"/>
                <w:b/>
                <w:noProof/>
                <w:sz w:val="20"/>
                <w:szCs w:val="20"/>
              </w:rPr>
            </w:pPr>
          </w:p>
        </w:tc>
        <w:tc>
          <w:tcPr>
            <w:tcW w:w="4244" w:type="dxa"/>
            <w:vAlign w:val="center"/>
          </w:tcPr>
          <w:p w:rsidR="001012C6" w:rsidRPr="00DB7129" w:rsidRDefault="00FE4959" w:rsidP="00CA5596">
            <w:pPr>
              <w:jc w:val="both"/>
              <w:rPr>
                <w:rFonts w:ascii="Tahoma" w:hAnsi="Tahoma"/>
                <w:szCs w:val="22"/>
                <w:lang w:val="en-US"/>
              </w:rPr>
            </w:pPr>
            <w:r w:rsidRPr="007E5A87">
              <w:rPr>
                <w:rFonts w:ascii="Tahoma" w:hAnsi="Tahoma"/>
                <w:szCs w:val="22"/>
              </w:rPr>
              <w:t xml:space="preserve">Состојбата на државните хартии од вредност на домашниот пазар </w:t>
            </w:r>
            <w:r>
              <w:rPr>
                <w:rFonts w:ascii="Tahoma" w:hAnsi="Tahoma"/>
                <w:szCs w:val="22"/>
              </w:rPr>
              <w:t>на крајот од јули</w:t>
            </w:r>
            <w:r w:rsidRPr="007E5A87">
              <w:rPr>
                <w:rFonts w:ascii="Tahoma" w:hAnsi="Tahoma"/>
                <w:szCs w:val="22"/>
              </w:rPr>
              <w:t xml:space="preserve"> изнесува</w:t>
            </w:r>
            <w:r>
              <w:rPr>
                <w:rFonts w:ascii="Tahoma" w:hAnsi="Tahoma"/>
                <w:szCs w:val="22"/>
              </w:rPr>
              <w:t xml:space="preserve"> 70.496  милиони денари и</w:t>
            </w:r>
            <w:r w:rsidRPr="007E5A87">
              <w:rPr>
                <w:rFonts w:ascii="Tahoma" w:hAnsi="Tahoma"/>
                <w:szCs w:val="22"/>
              </w:rPr>
              <w:t xml:space="preserve"> во однос на </w:t>
            </w:r>
            <w:r>
              <w:rPr>
                <w:rFonts w:ascii="Tahoma" w:hAnsi="Tahoma"/>
                <w:szCs w:val="22"/>
              </w:rPr>
              <w:t>јуни</w:t>
            </w:r>
            <w:r w:rsidRPr="007E5A87">
              <w:rPr>
                <w:rFonts w:ascii="Tahoma" w:hAnsi="Tahoma"/>
                <w:szCs w:val="22"/>
              </w:rPr>
              <w:t xml:space="preserve"> 2014 година </w:t>
            </w:r>
            <w:r>
              <w:rPr>
                <w:rFonts w:ascii="Tahoma" w:hAnsi="Tahoma"/>
                <w:szCs w:val="22"/>
              </w:rPr>
              <w:t>е повисока за 282</w:t>
            </w:r>
            <w:r w:rsidRPr="007E5A87">
              <w:rPr>
                <w:rFonts w:ascii="Tahoma" w:hAnsi="Tahoma"/>
                <w:szCs w:val="22"/>
              </w:rPr>
              <w:t xml:space="preserve"> милион</w:t>
            </w:r>
            <w:r w:rsidR="00362E34">
              <w:rPr>
                <w:rFonts w:ascii="Tahoma" w:hAnsi="Tahoma"/>
                <w:szCs w:val="22"/>
              </w:rPr>
              <w:t>а</w:t>
            </w:r>
            <w:r w:rsidRPr="007E5A87">
              <w:rPr>
                <w:rFonts w:ascii="Tahoma" w:hAnsi="Tahoma"/>
                <w:szCs w:val="22"/>
              </w:rPr>
              <w:t xml:space="preserve"> денари. </w:t>
            </w:r>
          </w:p>
        </w:tc>
      </w:tr>
      <w:tr w:rsidR="001012C6" w:rsidRPr="007C6D1F" w:rsidTr="00CE189E">
        <w:trPr>
          <w:trHeight w:val="174"/>
        </w:trPr>
        <w:tc>
          <w:tcPr>
            <w:tcW w:w="6487" w:type="dxa"/>
          </w:tcPr>
          <w:p w:rsidR="001012C6" w:rsidRDefault="001012C6" w:rsidP="001012C6">
            <w:pPr>
              <w:jc w:val="both"/>
              <w:rPr>
                <w:rFonts w:ascii="Tahoma" w:hAnsi="Tahoma"/>
                <w:noProof/>
                <w:sz w:val="20"/>
                <w:szCs w:val="20"/>
              </w:rPr>
            </w:pPr>
          </w:p>
          <w:p w:rsidR="00FE4959" w:rsidRDefault="00FE4959" w:rsidP="001012C6">
            <w:pPr>
              <w:jc w:val="both"/>
              <w:rPr>
                <w:rFonts w:ascii="Tahoma" w:hAnsi="Tahoma"/>
                <w:noProof/>
                <w:sz w:val="20"/>
                <w:szCs w:val="20"/>
              </w:rPr>
            </w:pPr>
          </w:p>
          <w:p w:rsidR="00FE4959" w:rsidRDefault="00FE4959" w:rsidP="001012C6">
            <w:pPr>
              <w:jc w:val="both"/>
              <w:rPr>
                <w:rFonts w:ascii="Tahoma" w:hAnsi="Tahoma"/>
                <w:noProof/>
                <w:sz w:val="20"/>
                <w:szCs w:val="20"/>
              </w:rPr>
            </w:pPr>
            <w:r>
              <w:rPr>
                <w:rFonts w:ascii="Tahoma" w:hAnsi="Tahoma"/>
                <w:noProof/>
                <w:szCs w:val="22"/>
                <w:lang w:val="en-US"/>
              </w:rPr>
              <w:drawing>
                <wp:inline distT="0" distB="0" distL="0" distR="0">
                  <wp:extent cx="3737113" cy="35701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7090" cy="3570113"/>
                          </a:xfrm>
                          <a:prstGeom prst="rect">
                            <a:avLst/>
                          </a:prstGeom>
                          <a:noFill/>
                          <a:ln>
                            <a:noFill/>
                          </a:ln>
                        </pic:spPr>
                      </pic:pic>
                    </a:graphicData>
                  </a:graphic>
                </wp:inline>
              </w:drawing>
            </w:r>
          </w:p>
          <w:p w:rsidR="00FE4959" w:rsidRDefault="00FE4959" w:rsidP="001012C6">
            <w:pPr>
              <w:jc w:val="both"/>
              <w:rPr>
                <w:rFonts w:ascii="Tahoma" w:hAnsi="Tahoma"/>
                <w:noProof/>
                <w:sz w:val="20"/>
                <w:szCs w:val="20"/>
              </w:rPr>
            </w:pPr>
          </w:p>
          <w:p w:rsidR="00FE4959" w:rsidRDefault="00FE4959" w:rsidP="001012C6">
            <w:pPr>
              <w:jc w:val="both"/>
              <w:rPr>
                <w:rFonts w:ascii="Tahoma" w:hAnsi="Tahoma"/>
                <w:noProof/>
                <w:sz w:val="20"/>
                <w:szCs w:val="20"/>
              </w:rPr>
            </w:pPr>
          </w:p>
          <w:p w:rsidR="00FE4959" w:rsidRPr="00714682" w:rsidRDefault="00FE4959" w:rsidP="001012C6">
            <w:pPr>
              <w:jc w:val="both"/>
              <w:rPr>
                <w:rFonts w:ascii="Tahoma" w:hAnsi="Tahoma"/>
                <w:noProof/>
                <w:sz w:val="20"/>
                <w:szCs w:val="20"/>
              </w:rPr>
            </w:pPr>
          </w:p>
        </w:tc>
        <w:tc>
          <w:tcPr>
            <w:tcW w:w="4244" w:type="dxa"/>
            <w:vAlign w:val="center"/>
          </w:tcPr>
          <w:p w:rsidR="00FE4959" w:rsidRDefault="00FE4959" w:rsidP="00FE4959">
            <w:pPr>
              <w:autoSpaceDE w:val="0"/>
              <w:autoSpaceDN w:val="0"/>
              <w:adjustRightInd w:val="0"/>
              <w:jc w:val="both"/>
              <w:rPr>
                <w:rFonts w:ascii="Tahoma" w:hAnsi="Tahoma"/>
                <w:color w:val="000000"/>
                <w:szCs w:val="22"/>
              </w:rPr>
            </w:pPr>
          </w:p>
          <w:p w:rsidR="00FE4959" w:rsidRDefault="00FE4959" w:rsidP="00FE4959">
            <w:pPr>
              <w:autoSpaceDE w:val="0"/>
              <w:autoSpaceDN w:val="0"/>
              <w:adjustRightInd w:val="0"/>
              <w:jc w:val="both"/>
              <w:rPr>
                <w:rFonts w:ascii="Tahoma" w:hAnsi="Tahoma"/>
                <w:color w:val="000000"/>
                <w:szCs w:val="22"/>
              </w:rPr>
            </w:pPr>
          </w:p>
          <w:p w:rsidR="001012C6" w:rsidRDefault="00FE4959" w:rsidP="00A57112">
            <w:pPr>
              <w:autoSpaceDE w:val="0"/>
              <w:autoSpaceDN w:val="0"/>
              <w:adjustRightInd w:val="0"/>
              <w:jc w:val="both"/>
              <w:rPr>
                <w:rFonts w:ascii="Tahoma" w:hAnsi="Tahoma"/>
                <w:b/>
                <w:szCs w:val="22"/>
              </w:rPr>
            </w:pPr>
            <w:r w:rsidRPr="00FE4959">
              <w:rPr>
                <w:rFonts w:ascii="Tahoma" w:hAnsi="Tahoma"/>
                <w:color w:val="000000"/>
                <w:szCs w:val="22"/>
              </w:rPr>
              <w:t xml:space="preserve">Каматните стапки на аукциите на државни хартии од вредност во јули, се движеа во распон од 3% за 12-месечните државни записи со валутна клаузула преку 3,2% за 12-месечните државни записи до 5% за 10-годишните државни обврзници. Ваквите поместувања значеа реализација на </w:t>
            </w:r>
            <w:r w:rsidRPr="003B0B0C">
              <w:rPr>
                <w:rFonts w:ascii="Tahoma" w:hAnsi="Tahoma"/>
                <w:color w:val="000000"/>
                <w:szCs w:val="22"/>
              </w:rPr>
              <w:t xml:space="preserve">умерено пониски каматни стапки (за 0,4 </w:t>
            </w:r>
            <w:proofErr w:type="spellStart"/>
            <w:r w:rsidRPr="003B0B0C">
              <w:rPr>
                <w:rFonts w:ascii="Tahoma" w:hAnsi="Tahoma"/>
                <w:color w:val="000000"/>
                <w:szCs w:val="22"/>
              </w:rPr>
              <w:t>п.п</w:t>
            </w:r>
            <w:proofErr w:type="spellEnd"/>
            <w:r w:rsidRPr="003B0B0C">
              <w:rPr>
                <w:rFonts w:ascii="Tahoma" w:hAnsi="Tahoma"/>
                <w:color w:val="000000"/>
                <w:szCs w:val="22"/>
              </w:rPr>
              <w:t xml:space="preserve">.) </w:t>
            </w:r>
            <w:r w:rsidRPr="00FD029D">
              <w:rPr>
                <w:rFonts w:ascii="Tahoma" w:hAnsi="Tahoma"/>
                <w:color w:val="000000"/>
                <w:szCs w:val="22"/>
              </w:rPr>
              <w:t>на 12-месечните државни записи, со и без валутна клаузула, споредено со претходните аукции</w:t>
            </w:r>
            <w:r w:rsidR="003B0B0C">
              <w:rPr>
                <w:rFonts w:ascii="Tahoma" w:hAnsi="Tahoma"/>
                <w:color w:val="000000"/>
                <w:szCs w:val="22"/>
              </w:rPr>
              <w:t xml:space="preserve">. </w:t>
            </w:r>
          </w:p>
        </w:tc>
      </w:tr>
      <w:tr w:rsidR="001012C6" w:rsidRPr="007C6D1F" w:rsidTr="00CE189E">
        <w:trPr>
          <w:trHeight w:val="4808"/>
        </w:trPr>
        <w:tc>
          <w:tcPr>
            <w:tcW w:w="6487" w:type="dxa"/>
          </w:tcPr>
          <w:p w:rsidR="001012C6" w:rsidRDefault="001012C6" w:rsidP="001012C6">
            <w:pPr>
              <w:jc w:val="both"/>
              <w:rPr>
                <w:rFonts w:ascii="Tahoma" w:hAnsi="Tahoma"/>
                <w:noProof/>
                <w:sz w:val="20"/>
                <w:szCs w:val="20"/>
              </w:rPr>
            </w:pPr>
          </w:p>
          <w:p w:rsidR="00FE4959" w:rsidRDefault="00FE4959" w:rsidP="00A60D26">
            <w:pPr>
              <w:jc w:val="center"/>
              <w:rPr>
                <w:rFonts w:ascii="Tahoma" w:hAnsi="Tahoma"/>
                <w:noProof/>
                <w:sz w:val="20"/>
                <w:szCs w:val="20"/>
              </w:rPr>
            </w:pPr>
          </w:p>
          <w:p w:rsidR="008F1338" w:rsidRDefault="008F1338" w:rsidP="001012C6">
            <w:pPr>
              <w:jc w:val="both"/>
              <w:rPr>
                <w:rFonts w:ascii="Tahoma" w:hAnsi="Tahoma"/>
                <w:noProof/>
                <w:sz w:val="20"/>
                <w:szCs w:val="20"/>
              </w:rPr>
            </w:pPr>
          </w:p>
          <w:p w:rsidR="008F1338" w:rsidRDefault="008F1338"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A60D26" w:rsidP="001012C6">
            <w:pPr>
              <w:jc w:val="both"/>
              <w:rPr>
                <w:rFonts w:ascii="Tahoma" w:hAnsi="Tahoma"/>
                <w:noProof/>
                <w:sz w:val="20"/>
                <w:szCs w:val="20"/>
              </w:rPr>
            </w:pPr>
            <w:r>
              <w:rPr>
                <w:rFonts w:ascii="Tahoma" w:hAnsi="Tahoma"/>
                <w:noProof/>
                <w:szCs w:val="22"/>
                <w:lang w:val="en-US"/>
              </w:rPr>
              <w:drawing>
                <wp:inline distT="0" distB="0" distL="0" distR="0">
                  <wp:extent cx="3922776" cy="4773168"/>
                  <wp:effectExtent l="0" t="0" r="190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2776" cy="4773168"/>
                          </a:xfrm>
                          <a:prstGeom prst="rect">
                            <a:avLst/>
                          </a:prstGeom>
                          <a:noFill/>
                          <a:ln>
                            <a:noFill/>
                          </a:ln>
                        </pic:spPr>
                      </pic:pic>
                    </a:graphicData>
                  </a:graphic>
                </wp:inline>
              </w:drawing>
            </w: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A60D26" w:rsidRDefault="00A60D26" w:rsidP="001012C6">
            <w:pPr>
              <w:jc w:val="both"/>
              <w:rPr>
                <w:rFonts w:ascii="Tahoma" w:hAnsi="Tahoma"/>
                <w:noProof/>
                <w:sz w:val="20"/>
                <w:szCs w:val="20"/>
              </w:rPr>
            </w:pPr>
          </w:p>
          <w:p w:rsidR="004A2FBE" w:rsidRDefault="004A2FBE" w:rsidP="001012C6">
            <w:pPr>
              <w:jc w:val="both"/>
              <w:rPr>
                <w:rFonts w:ascii="Tahoma" w:hAnsi="Tahoma"/>
                <w:noProof/>
                <w:sz w:val="20"/>
                <w:szCs w:val="20"/>
              </w:rPr>
            </w:pPr>
          </w:p>
          <w:p w:rsidR="008F1338" w:rsidRDefault="008F1338" w:rsidP="001012C6">
            <w:pPr>
              <w:jc w:val="both"/>
              <w:rPr>
                <w:rFonts w:ascii="Tahoma" w:hAnsi="Tahoma"/>
                <w:noProof/>
                <w:sz w:val="20"/>
                <w:szCs w:val="20"/>
              </w:rPr>
            </w:pPr>
          </w:p>
          <w:p w:rsidR="00FE4959" w:rsidRPr="00FE4959" w:rsidRDefault="00FE4959" w:rsidP="001012C6">
            <w:pPr>
              <w:jc w:val="both"/>
              <w:rPr>
                <w:rFonts w:ascii="Tahoma" w:hAnsi="Tahoma"/>
                <w:b/>
                <w:noProof/>
                <w:szCs w:val="22"/>
              </w:rPr>
            </w:pPr>
            <w:r w:rsidRPr="00FE4959">
              <w:rPr>
                <w:rFonts w:ascii="Tahoma" w:hAnsi="Tahoma"/>
                <w:b/>
                <w:noProof/>
                <w:szCs w:val="22"/>
              </w:rPr>
              <w:t>Вкупни депозити</w:t>
            </w:r>
          </w:p>
          <w:p w:rsidR="00FE4959" w:rsidRPr="003979C0"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981450" cy="27908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790825"/>
                          </a:xfrm>
                          <a:prstGeom prst="rect">
                            <a:avLst/>
                          </a:prstGeom>
                          <a:noFill/>
                          <a:ln>
                            <a:noFill/>
                          </a:ln>
                        </pic:spPr>
                      </pic:pic>
                    </a:graphicData>
                  </a:graphic>
                </wp:inline>
              </w:drawing>
            </w:r>
          </w:p>
        </w:tc>
        <w:tc>
          <w:tcPr>
            <w:tcW w:w="4244" w:type="dxa"/>
            <w:tcBorders>
              <w:left w:val="nil"/>
            </w:tcBorders>
            <w:vAlign w:val="center"/>
          </w:tcPr>
          <w:p w:rsidR="009712F1" w:rsidRDefault="009712F1" w:rsidP="00FE4959">
            <w:pPr>
              <w:jc w:val="both"/>
              <w:rPr>
                <w:rFonts w:ascii="Tahoma" w:hAnsi="Tahoma"/>
                <w:szCs w:val="22"/>
              </w:rPr>
            </w:pPr>
          </w:p>
          <w:p w:rsidR="009712F1" w:rsidRDefault="009712F1"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A60D26" w:rsidRDefault="00A60D26" w:rsidP="00FE4959">
            <w:pPr>
              <w:jc w:val="both"/>
              <w:rPr>
                <w:rFonts w:ascii="Tahoma" w:hAnsi="Tahoma"/>
                <w:szCs w:val="22"/>
              </w:rPr>
            </w:pPr>
          </w:p>
          <w:p w:rsidR="00FE4959" w:rsidRPr="00FE4959" w:rsidRDefault="00FE4959" w:rsidP="00FE4959">
            <w:pPr>
              <w:jc w:val="both"/>
              <w:rPr>
                <w:rFonts w:ascii="Tahoma" w:hAnsi="Tahoma"/>
                <w:szCs w:val="22"/>
              </w:rPr>
            </w:pPr>
            <w:r w:rsidRPr="00FE4959">
              <w:rPr>
                <w:rFonts w:ascii="Tahoma" w:hAnsi="Tahoma"/>
                <w:szCs w:val="22"/>
              </w:rPr>
              <w:t xml:space="preserve">На крајот од јуни нивото на примарните пари е малку повисоко од проектираното ниво за вториот квартал... </w:t>
            </w:r>
          </w:p>
          <w:p w:rsidR="00FE4959" w:rsidRPr="00FE4959" w:rsidRDefault="00FE4959" w:rsidP="00FE4959">
            <w:pPr>
              <w:jc w:val="both"/>
              <w:rPr>
                <w:rFonts w:ascii="Tahoma" w:hAnsi="Tahoma"/>
                <w:szCs w:val="22"/>
              </w:rPr>
            </w:pPr>
          </w:p>
          <w:p w:rsidR="00FE4959" w:rsidRDefault="00FE4959" w:rsidP="00FE4959">
            <w:pPr>
              <w:autoSpaceDE w:val="0"/>
              <w:autoSpaceDN w:val="0"/>
              <w:adjustRightInd w:val="0"/>
              <w:jc w:val="both"/>
              <w:rPr>
                <w:rFonts w:ascii="Tahoma" w:hAnsi="Tahoma"/>
                <w:color w:val="000000"/>
                <w:szCs w:val="22"/>
              </w:rPr>
            </w:pPr>
            <w:r w:rsidRPr="00FE4959">
              <w:rPr>
                <w:rFonts w:ascii="Tahoma" w:hAnsi="Tahoma"/>
                <w:color w:val="000000"/>
                <w:szCs w:val="22"/>
              </w:rPr>
              <w:t xml:space="preserve">...во услови на нешто поинтензивен квартален раст споредено со априлската проекција и кај готовите пари во оптек и кај вкупните ликвидни средства на банките. </w:t>
            </w: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9712F1" w:rsidRDefault="009712F1"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FE4959">
            <w:pPr>
              <w:autoSpaceDE w:val="0"/>
              <w:autoSpaceDN w:val="0"/>
              <w:adjustRightInd w:val="0"/>
              <w:jc w:val="both"/>
              <w:rPr>
                <w:rFonts w:ascii="Tahoma" w:hAnsi="Tahoma"/>
                <w:color w:val="000000"/>
                <w:szCs w:val="22"/>
              </w:rPr>
            </w:pPr>
          </w:p>
          <w:p w:rsidR="00A60D26" w:rsidRDefault="00A60D26" w:rsidP="009712F1">
            <w:pPr>
              <w:jc w:val="both"/>
              <w:rPr>
                <w:rFonts w:ascii="Tahoma" w:hAnsi="Tahoma"/>
                <w:szCs w:val="22"/>
              </w:rPr>
            </w:pPr>
          </w:p>
          <w:p w:rsidR="00A60D26" w:rsidRDefault="00A60D26" w:rsidP="009712F1">
            <w:pPr>
              <w:jc w:val="both"/>
              <w:rPr>
                <w:rFonts w:ascii="Tahoma" w:hAnsi="Tahoma"/>
                <w:szCs w:val="22"/>
              </w:rPr>
            </w:pPr>
          </w:p>
          <w:p w:rsidR="009712F1" w:rsidRPr="009712F1" w:rsidRDefault="00362E34" w:rsidP="009712F1">
            <w:pPr>
              <w:jc w:val="both"/>
              <w:rPr>
                <w:rFonts w:ascii="Tahoma" w:hAnsi="Tahoma"/>
                <w:szCs w:val="22"/>
              </w:rPr>
            </w:pPr>
            <w:r>
              <w:rPr>
                <w:rFonts w:ascii="Tahoma" w:hAnsi="Tahoma"/>
                <w:szCs w:val="22"/>
              </w:rPr>
              <w:t>Според</w:t>
            </w:r>
            <w:r w:rsidRPr="009712F1">
              <w:rPr>
                <w:rFonts w:ascii="Tahoma" w:hAnsi="Tahoma"/>
                <w:szCs w:val="22"/>
              </w:rPr>
              <w:t xml:space="preserve"> </w:t>
            </w:r>
            <w:r w:rsidR="009712F1" w:rsidRPr="009712F1">
              <w:rPr>
                <w:rFonts w:ascii="Tahoma" w:hAnsi="Tahoma"/>
                <w:szCs w:val="22"/>
              </w:rPr>
              <w:t xml:space="preserve">податоците заклучно со јуни, вкупните депозити бележат позначителен месечен раст </w:t>
            </w:r>
            <w:r>
              <w:rPr>
                <w:rFonts w:ascii="Tahoma" w:hAnsi="Tahoma"/>
                <w:szCs w:val="22"/>
              </w:rPr>
              <w:t xml:space="preserve">во споредба </w:t>
            </w:r>
            <w:r w:rsidR="009712F1" w:rsidRPr="009712F1">
              <w:rPr>
                <w:rFonts w:ascii="Tahoma" w:hAnsi="Tahoma"/>
                <w:szCs w:val="22"/>
              </w:rPr>
              <w:t>со претходниот месец</w:t>
            </w:r>
            <w:r>
              <w:rPr>
                <w:rFonts w:ascii="Tahoma" w:hAnsi="Tahoma"/>
                <w:szCs w:val="22"/>
              </w:rPr>
              <w:t>,</w:t>
            </w:r>
            <w:r w:rsidR="009712F1" w:rsidRPr="009712F1">
              <w:rPr>
                <w:rFonts w:ascii="Tahoma" w:hAnsi="Tahoma"/>
                <w:szCs w:val="22"/>
              </w:rPr>
              <w:t xml:space="preserve"> како резултат на истовременото зголемување на денарските и девизните депозити. Од секторски аспект, месечниот прираст на вкупните депозити </w:t>
            </w:r>
            <w:r w:rsidR="00E90A7B">
              <w:rPr>
                <w:rFonts w:ascii="Tahoma" w:hAnsi="Tahoma"/>
                <w:szCs w:val="22"/>
              </w:rPr>
              <w:t xml:space="preserve">најмногу се должи на </w:t>
            </w:r>
            <w:r w:rsidR="009712F1" w:rsidRPr="009712F1">
              <w:rPr>
                <w:rFonts w:ascii="Tahoma" w:hAnsi="Tahoma"/>
                <w:szCs w:val="22"/>
              </w:rPr>
              <w:t>растот на депозитите на претпријатијата при умерен раст на депозитите на населението...</w:t>
            </w:r>
          </w:p>
          <w:p w:rsidR="001012C6" w:rsidRDefault="001012C6" w:rsidP="001012C6">
            <w:pPr>
              <w:jc w:val="both"/>
              <w:rPr>
                <w:rFonts w:ascii="Tahoma" w:hAnsi="Tahoma"/>
                <w:b/>
                <w:szCs w:val="22"/>
              </w:rPr>
            </w:pPr>
          </w:p>
        </w:tc>
      </w:tr>
      <w:tr w:rsidR="00CE189E" w:rsidRPr="007C6D1F" w:rsidTr="00CE189E">
        <w:trPr>
          <w:trHeight w:val="97"/>
        </w:trPr>
        <w:tc>
          <w:tcPr>
            <w:tcW w:w="6487" w:type="dxa"/>
            <w:vMerge w:val="restart"/>
          </w:tcPr>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Pr="009712F1" w:rsidRDefault="00CE189E" w:rsidP="009712F1">
            <w:pPr>
              <w:jc w:val="both"/>
              <w:rPr>
                <w:rFonts w:ascii="Tahoma" w:eastAsiaTheme="minorHAnsi" w:hAnsi="Tahoma"/>
                <w:b/>
                <w:noProof/>
                <w:sz w:val="20"/>
                <w:szCs w:val="20"/>
                <w:lang w:val="en-US"/>
              </w:rPr>
            </w:pPr>
            <w:r w:rsidRPr="009712F1">
              <w:rPr>
                <w:rFonts w:ascii="Tahoma" w:eastAsiaTheme="minorHAnsi" w:hAnsi="Tahoma"/>
                <w:b/>
                <w:noProof/>
                <w:sz w:val="20"/>
                <w:szCs w:val="20"/>
                <w:lang w:val="en-US"/>
              </w:rPr>
              <w:t>Придонес на денарските и девизните депозити во порастот на вкупните депозити (во %)</w:t>
            </w:r>
          </w:p>
          <w:p w:rsidR="00CE189E" w:rsidRPr="004A2FBE" w:rsidRDefault="00CE189E" w:rsidP="004A2FBE">
            <w:pPr>
              <w:rPr>
                <w:rFonts w:ascii="Tahoma" w:eastAsiaTheme="minorHAnsi" w:hAnsi="Tahoma"/>
                <w:noProof/>
                <w:sz w:val="16"/>
                <w:szCs w:val="16"/>
              </w:rPr>
            </w:pPr>
            <w:r w:rsidRPr="009712F1">
              <w:rPr>
                <w:rFonts w:ascii="Tahoma" w:eastAsiaTheme="minorHAnsi" w:hAnsi="Tahoma"/>
                <w:noProof/>
                <w:sz w:val="16"/>
                <w:szCs w:val="16"/>
                <w:lang w:val="en-US"/>
              </w:rPr>
              <w:t>*Вклучува депозитни п</w:t>
            </w:r>
            <w:r>
              <w:rPr>
                <w:rFonts w:ascii="Tahoma" w:eastAsiaTheme="minorHAnsi" w:hAnsi="Tahoma"/>
                <w:noProof/>
                <w:sz w:val="16"/>
                <w:szCs w:val="16"/>
                <w:lang w:val="en-US"/>
              </w:rPr>
              <w:t>ари</w:t>
            </w:r>
          </w:p>
          <w:p w:rsidR="00CE189E" w:rsidRDefault="00CA5596" w:rsidP="009712F1">
            <w:pPr>
              <w:tabs>
                <w:tab w:val="left" w:pos="1141"/>
              </w:tabs>
              <w:jc w:val="both"/>
              <w:rPr>
                <w:rFonts w:ascii="Tahoma" w:hAnsi="Tahoma"/>
                <w:noProof/>
                <w:sz w:val="20"/>
                <w:szCs w:val="20"/>
              </w:rPr>
            </w:pPr>
            <w:r>
              <w:rPr>
                <w:rFonts w:ascii="Tahoma" w:hAnsi="Tahoma"/>
                <w:noProof/>
                <w:sz w:val="20"/>
                <w:szCs w:val="20"/>
                <w:lang w:val="en-US"/>
              </w:rPr>
              <w:drawing>
                <wp:inline distT="0" distB="0" distL="0" distR="0">
                  <wp:extent cx="3933825" cy="30956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3095625"/>
                          </a:xfrm>
                          <a:prstGeom prst="rect">
                            <a:avLst/>
                          </a:prstGeom>
                          <a:noFill/>
                          <a:ln>
                            <a:noFill/>
                          </a:ln>
                        </pic:spPr>
                      </pic:pic>
                    </a:graphicData>
                  </a:graphic>
                </wp:inline>
              </w:drawing>
            </w:r>
          </w:p>
          <w:p w:rsidR="00CE189E" w:rsidRPr="003979C0" w:rsidRDefault="00CE189E" w:rsidP="0095547B">
            <w:pPr>
              <w:tabs>
                <w:tab w:val="left" w:pos="1141"/>
              </w:tabs>
              <w:jc w:val="both"/>
              <w:rPr>
                <w:rFonts w:ascii="Tahoma" w:hAnsi="Tahoma"/>
                <w:noProof/>
                <w:sz w:val="20"/>
                <w:szCs w:val="20"/>
              </w:rPr>
            </w:pPr>
          </w:p>
        </w:tc>
        <w:tc>
          <w:tcPr>
            <w:tcW w:w="4244" w:type="dxa"/>
            <w:tcBorders>
              <w:left w:val="nil"/>
            </w:tcBorders>
            <w:vAlign w:val="center"/>
          </w:tcPr>
          <w:p w:rsidR="00CE189E" w:rsidRPr="009712F1" w:rsidRDefault="00CE189E" w:rsidP="009712F1">
            <w:pPr>
              <w:jc w:val="both"/>
              <w:rPr>
                <w:rFonts w:ascii="Tahoma" w:hAnsi="Tahoma"/>
                <w:szCs w:val="22"/>
                <w:highlight w:val="yellow"/>
              </w:rPr>
            </w:pPr>
            <w:r w:rsidRPr="009712F1">
              <w:rPr>
                <w:rFonts w:ascii="Tahoma" w:hAnsi="Tahoma"/>
                <w:szCs w:val="22"/>
              </w:rPr>
              <w:lastRenderedPageBreak/>
              <w:t xml:space="preserve">...со што </w:t>
            </w:r>
            <w:r w:rsidRPr="009712F1">
              <w:rPr>
                <w:rFonts w:ascii="Tahoma" w:hAnsi="Tahoma"/>
                <w:b/>
                <w:szCs w:val="22"/>
              </w:rPr>
              <w:t>годишната стапка на раст на вкупните депозити на крајот на јуни изнесува 8,3% и е под проекцијата за вториот квартал (9,5%).</w:t>
            </w:r>
            <w:r w:rsidRPr="009712F1">
              <w:rPr>
                <w:rFonts w:ascii="Tahoma" w:hAnsi="Tahoma"/>
                <w:szCs w:val="22"/>
              </w:rPr>
              <w:t xml:space="preserve"> На квартална основа, вкупните депозити бележат раст од 1.153 милиони денари</w:t>
            </w:r>
            <w:r w:rsidR="00E90A7B">
              <w:rPr>
                <w:rFonts w:ascii="Tahoma" w:hAnsi="Tahoma"/>
                <w:szCs w:val="22"/>
              </w:rPr>
              <w:t>,</w:t>
            </w:r>
            <w:r w:rsidRPr="009712F1">
              <w:rPr>
                <w:rFonts w:ascii="Tahoma" w:hAnsi="Tahoma"/>
                <w:szCs w:val="22"/>
              </w:rPr>
              <w:t xml:space="preserve"> што </w:t>
            </w:r>
            <w:r w:rsidR="00CA5596">
              <w:rPr>
                <w:rFonts w:ascii="Tahoma" w:hAnsi="Tahoma"/>
                <w:szCs w:val="22"/>
              </w:rPr>
              <w:t>е под</w:t>
            </w:r>
            <w:r w:rsidRPr="009712F1">
              <w:rPr>
                <w:rFonts w:ascii="Tahoma" w:hAnsi="Tahoma"/>
                <w:szCs w:val="22"/>
              </w:rPr>
              <w:t xml:space="preserve"> проектираниот раст за вториот квартал, согласно</w:t>
            </w:r>
            <w:r w:rsidR="00E90A7B">
              <w:rPr>
                <w:rFonts w:ascii="Tahoma" w:hAnsi="Tahoma"/>
                <w:szCs w:val="22"/>
              </w:rPr>
              <w:t xml:space="preserve"> со</w:t>
            </w:r>
            <w:r w:rsidRPr="009712F1">
              <w:rPr>
                <w:rFonts w:ascii="Tahoma" w:hAnsi="Tahoma"/>
                <w:szCs w:val="22"/>
              </w:rPr>
              <w:t xml:space="preserve"> априлската проекција.  </w:t>
            </w:r>
          </w:p>
          <w:p w:rsidR="00CE189E" w:rsidRDefault="00CE189E" w:rsidP="001012C6">
            <w:pPr>
              <w:jc w:val="both"/>
              <w:rPr>
                <w:rFonts w:ascii="Tahoma" w:hAnsi="Tahoma"/>
                <w:b/>
                <w:szCs w:val="22"/>
              </w:rPr>
            </w:pPr>
          </w:p>
          <w:p w:rsidR="00B50BE9" w:rsidRDefault="00B50BE9" w:rsidP="001012C6">
            <w:pPr>
              <w:jc w:val="both"/>
              <w:rPr>
                <w:rFonts w:ascii="Tahoma" w:hAnsi="Tahoma"/>
                <w:b/>
                <w:szCs w:val="22"/>
              </w:rPr>
            </w:pPr>
          </w:p>
          <w:p w:rsidR="00B50BE9" w:rsidRDefault="00B50BE9" w:rsidP="001012C6">
            <w:pPr>
              <w:jc w:val="both"/>
              <w:rPr>
                <w:rFonts w:ascii="Tahoma" w:hAnsi="Tahoma"/>
                <w:b/>
                <w:szCs w:val="22"/>
              </w:rPr>
            </w:pPr>
          </w:p>
        </w:tc>
      </w:tr>
      <w:tr w:rsidR="00CE189E" w:rsidRPr="007C6D1F" w:rsidTr="00CE189E">
        <w:trPr>
          <w:trHeight w:val="97"/>
        </w:trPr>
        <w:tc>
          <w:tcPr>
            <w:tcW w:w="6487" w:type="dxa"/>
            <w:vMerge/>
          </w:tcPr>
          <w:p w:rsidR="00CE189E" w:rsidRPr="003979C0" w:rsidRDefault="00CE189E" w:rsidP="009712F1">
            <w:pPr>
              <w:tabs>
                <w:tab w:val="left" w:pos="1141"/>
              </w:tabs>
              <w:jc w:val="both"/>
              <w:rPr>
                <w:rFonts w:ascii="Tahoma" w:hAnsi="Tahoma"/>
                <w:noProof/>
                <w:sz w:val="20"/>
                <w:szCs w:val="20"/>
              </w:rPr>
            </w:pPr>
          </w:p>
        </w:tc>
        <w:tc>
          <w:tcPr>
            <w:tcW w:w="4244" w:type="dxa"/>
            <w:tcBorders>
              <w:left w:val="nil"/>
            </w:tcBorders>
            <w:vAlign w:val="center"/>
          </w:tcPr>
          <w:p w:rsidR="00CE189E" w:rsidRPr="009712F1" w:rsidRDefault="00CE189E" w:rsidP="009712F1">
            <w:pPr>
              <w:jc w:val="both"/>
              <w:rPr>
                <w:rFonts w:ascii="Tahoma" w:eastAsiaTheme="minorHAnsi" w:hAnsi="Tahoma"/>
                <w:b/>
                <w:szCs w:val="22"/>
                <w:highlight w:val="yellow"/>
              </w:rPr>
            </w:pPr>
            <w:r w:rsidRPr="009712F1">
              <w:rPr>
                <w:rFonts w:ascii="Tahoma" w:eastAsiaTheme="minorHAnsi" w:hAnsi="Tahoma"/>
                <w:szCs w:val="22"/>
              </w:rPr>
              <w:t>Остварениот годишен депозитен раст и натаму во најголем дел се должи на растот на денарските депозити.</w:t>
            </w:r>
            <w:r w:rsidRPr="009712F1">
              <w:rPr>
                <w:rFonts w:ascii="Tahoma" w:eastAsiaTheme="minorHAnsi" w:hAnsi="Tahoma"/>
                <w:b/>
                <w:szCs w:val="22"/>
              </w:rPr>
              <w:t xml:space="preserve"> </w:t>
            </w:r>
            <w:r w:rsidRPr="009712F1">
              <w:rPr>
                <w:rFonts w:ascii="Tahoma" w:eastAsiaTheme="minorHAnsi" w:hAnsi="Tahoma"/>
                <w:szCs w:val="22"/>
              </w:rPr>
              <w:t>Сепак, во вториот квартал на 2014 година дојде до познач</w:t>
            </w:r>
            <w:r w:rsidR="00E90A7B">
              <w:rPr>
                <w:rFonts w:ascii="Tahoma" w:eastAsiaTheme="minorHAnsi" w:hAnsi="Tahoma"/>
                <w:szCs w:val="22"/>
              </w:rPr>
              <w:t>ително</w:t>
            </w:r>
            <w:r w:rsidRPr="009712F1">
              <w:rPr>
                <w:rFonts w:ascii="Tahoma" w:eastAsiaTheme="minorHAnsi" w:hAnsi="Tahoma"/>
                <w:szCs w:val="22"/>
              </w:rPr>
              <w:t xml:space="preserve"> зголемување на придонесот на девизните депозити </w:t>
            </w:r>
            <w:r w:rsidR="00E90A7B">
              <w:rPr>
                <w:rFonts w:ascii="Tahoma" w:eastAsiaTheme="minorHAnsi" w:hAnsi="Tahoma"/>
                <w:szCs w:val="22"/>
              </w:rPr>
              <w:t xml:space="preserve">на </w:t>
            </w:r>
            <w:r w:rsidRPr="009712F1">
              <w:rPr>
                <w:rFonts w:ascii="Tahoma" w:eastAsiaTheme="minorHAnsi" w:hAnsi="Tahoma"/>
                <w:szCs w:val="22"/>
              </w:rPr>
              <w:t>кои</w:t>
            </w:r>
            <w:r w:rsidR="00E90A7B">
              <w:rPr>
                <w:rFonts w:ascii="Tahoma" w:eastAsiaTheme="minorHAnsi" w:hAnsi="Tahoma"/>
                <w:szCs w:val="22"/>
              </w:rPr>
              <w:t>,</w:t>
            </w:r>
            <w:r w:rsidRPr="009712F1">
              <w:rPr>
                <w:rFonts w:ascii="Tahoma" w:eastAsiaTheme="minorHAnsi" w:hAnsi="Tahoma"/>
                <w:szCs w:val="22"/>
              </w:rPr>
              <w:t xml:space="preserve"> заклучно со јуни</w:t>
            </w:r>
            <w:r w:rsidR="00E90A7B">
              <w:rPr>
                <w:rFonts w:ascii="Tahoma" w:eastAsiaTheme="minorHAnsi" w:hAnsi="Tahoma"/>
                <w:szCs w:val="22"/>
              </w:rPr>
              <w:t xml:space="preserve">, </w:t>
            </w:r>
            <w:r w:rsidR="00B50660">
              <w:rPr>
                <w:rFonts w:ascii="Tahoma" w:eastAsiaTheme="minorHAnsi" w:hAnsi="Tahoma"/>
                <w:szCs w:val="22"/>
              </w:rPr>
              <w:t>отпаѓаат</w:t>
            </w:r>
            <w:r w:rsidRPr="009712F1">
              <w:rPr>
                <w:rFonts w:ascii="Tahoma" w:eastAsiaTheme="minorHAnsi" w:hAnsi="Tahoma"/>
                <w:szCs w:val="22"/>
              </w:rPr>
              <w:t xml:space="preserve">  27% од регистрираниот годишен прираст. Ваквите движења во голем дел се објаснуваат со пониската споредбена основа од вториот квартал на 2013 година</w:t>
            </w:r>
            <w:r w:rsidRPr="009712F1">
              <w:rPr>
                <w:rFonts w:ascii="Tahoma" w:eastAsiaTheme="minorHAnsi" w:hAnsi="Tahoma"/>
                <w:szCs w:val="22"/>
                <w:vertAlign w:val="superscript"/>
              </w:rPr>
              <w:footnoteReference w:id="13"/>
            </w:r>
            <w:r w:rsidRPr="009712F1">
              <w:rPr>
                <w:rFonts w:ascii="Tahoma" w:eastAsiaTheme="minorHAnsi" w:hAnsi="Tahoma"/>
                <w:szCs w:val="22"/>
              </w:rPr>
              <w:t>. Во втор</w:t>
            </w:r>
            <w:r w:rsidR="00D34DB0">
              <w:rPr>
                <w:rFonts w:ascii="Tahoma" w:eastAsiaTheme="minorHAnsi" w:hAnsi="Tahoma"/>
                <w:szCs w:val="22"/>
              </w:rPr>
              <w:t>ото тримесечје</w:t>
            </w:r>
            <w:r w:rsidR="002959F5">
              <w:rPr>
                <w:rFonts w:ascii="Tahoma" w:eastAsiaTheme="minorHAnsi" w:hAnsi="Tahoma"/>
                <w:szCs w:val="22"/>
              </w:rPr>
              <w:t xml:space="preserve"> </w:t>
            </w:r>
            <w:r w:rsidRPr="009712F1">
              <w:rPr>
                <w:rFonts w:ascii="Tahoma" w:eastAsiaTheme="minorHAnsi" w:hAnsi="Tahoma"/>
                <w:szCs w:val="22"/>
              </w:rPr>
              <w:t xml:space="preserve">на 2014 година девизните депозити бележат незначителен квартален раст.   </w:t>
            </w:r>
            <w:r w:rsidRPr="009712F1">
              <w:rPr>
                <w:rFonts w:ascii="Tahoma" w:eastAsiaTheme="minorHAnsi" w:hAnsi="Tahoma"/>
                <w:b/>
                <w:szCs w:val="22"/>
                <w:highlight w:val="yellow"/>
              </w:rPr>
              <w:t xml:space="preserve">  </w:t>
            </w:r>
          </w:p>
          <w:p w:rsidR="00CE189E" w:rsidRDefault="00CE189E" w:rsidP="001012C6">
            <w:pPr>
              <w:jc w:val="both"/>
              <w:rPr>
                <w:rFonts w:ascii="Tahoma" w:hAnsi="Tahoma"/>
                <w:b/>
                <w:szCs w:val="22"/>
              </w:rPr>
            </w:pPr>
          </w:p>
        </w:tc>
      </w:tr>
      <w:tr w:rsidR="00132D29" w:rsidRPr="007C6D1F" w:rsidTr="00CE189E">
        <w:trPr>
          <w:trHeight w:val="97"/>
        </w:trPr>
        <w:tc>
          <w:tcPr>
            <w:tcW w:w="6487" w:type="dxa"/>
          </w:tcPr>
          <w:p w:rsidR="009712F1" w:rsidRPr="009712F1" w:rsidRDefault="009712F1" w:rsidP="009712F1">
            <w:pPr>
              <w:keepNext/>
              <w:jc w:val="both"/>
              <w:rPr>
                <w:rFonts w:ascii="Tahoma" w:eastAsiaTheme="minorHAnsi" w:hAnsi="Tahoma"/>
                <w:b/>
                <w:noProof/>
                <w:sz w:val="20"/>
                <w:szCs w:val="20"/>
              </w:rPr>
            </w:pPr>
            <w:r w:rsidRPr="009712F1">
              <w:rPr>
                <w:rFonts w:ascii="Tahoma" w:eastAsiaTheme="minorHAnsi" w:hAnsi="Tahoma"/>
                <w:b/>
                <w:noProof/>
                <w:sz w:val="20"/>
                <w:szCs w:val="20"/>
                <w:lang w:val="en-US"/>
              </w:rPr>
              <w:lastRenderedPageBreak/>
              <w:t>Учество на денарските и девизните депозити во вкупните депозити (во %)</w:t>
            </w:r>
          </w:p>
          <w:p w:rsidR="009712F1" w:rsidRPr="009712F1" w:rsidRDefault="009712F1" w:rsidP="009712F1">
            <w:pPr>
              <w:keepNext/>
              <w:jc w:val="both"/>
              <w:rPr>
                <w:rFonts w:ascii="Tahoma" w:eastAsiaTheme="minorHAnsi" w:hAnsi="Tahoma"/>
                <w:b/>
                <w:noProof/>
                <w:sz w:val="20"/>
                <w:szCs w:val="20"/>
              </w:rPr>
            </w:pPr>
            <w:r w:rsidRPr="009712F1">
              <w:rPr>
                <w:rFonts w:ascii="Tahoma" w:eastAsiaTheme="minorHAnsi" w:hAnsi="Tahoma"/>
                <w:noProof/>
                <w:sz w:val="16"/>
                <w:szCs w:val="16"/>
                <w:lang w:val="en-US"/>
              </w:rPr>
              <w:t>*Вклучува депозитни пари.</w:t>
            </w:r>
          </w:p>
          <w:p w:rsidR="00132D29" w:rsidRDefault="00132D29" w:rsidP="001012C6">
            <w:pPr>
              <w:jc w:val="both"/>
              <w:rPr>
                <w:rFonts w:ascii="Tahoma" w:hAnsi="Tahoma"/>
                <w:noProof/>
                <w:sz w:val="20"/>
                <w:szCs w:val="20"/>
              </w:rPr>
            </w:pPr>
          </w:p>
          <w:p w:rsidR="009712F1"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933825" cy="3009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3009900"/>
                          </a:xfrm>
                          <a:prstGeom prst="rect">
                            <a:avLst/>
                          </a:prstGeom>
                          <a:noFill/>
                          <a:ln>
                            <a:noFill/>
                          </a:ln>
                        </pic:spPr>
                      </pic:pic>
                    </a:graphicData>
                  </a:graphic>
                </wp:inline>
              </w:drawing>
            </w: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Pr="009712F1" w:rsidRDefault="009712F1" w:rsidP="009712F1">
            <w:pPr>
              <w:jc w:val="both"/>
              <w:rPr>
                <w:rFonts w:ascii="Tahoma" w:eastAsiaTheme="minorHAnsi" w:hAnsi="Tahoma"/>
                <w:b/>
                <w:noProof/>
                <w:sz w:val="20"/>
                <w:szCs w:val="20"/>
                <w:lang w:val="en-US"/>
              </w:rPr>
            </w:pPr>
            <w:r w:rsidRPr="009712F1">
              <w:rPr>
                <w:rFonts w:ascii="Tahoma" w:eastAsiaTheme="minorHAnsi" w:hAnsi="Tahoma"/>
                <w:b/>
                <w:noProof/>
                <w:sz w:val="20"/>
                <w:szCs w:val="20"/>
                <w:lang w:val="en-US"/>
              </w:rPr>
              <w:t xml:space="preserve">Учество на М4 денарски дел во вкупна парична маса М4 </w:t>
            </w:r>
          </w:p>
          <w:p w:rsidR="009712F1" w:rsidRPr="009712F1" w:rsidRDefault="009712F1" w:rsidP="009712F1">
            <w:pPr>
              <w:jc w:val="both"/>
              <w:rPr>
                <w:rFonts w:ascii="Tahoma" w:eastAsiaTheme="minorHAnsi" w:hAnsi="Tahoma"/>
                <w:b/>
                <w:noProof/>
                <w:sz w:val="20"/>
                <w:szCs w:val="20"/>
              </w:rPr>
            </w:pPr>
            <w:r w:rsidRPr="009712F1">
              <w:rPr>
                <w:rFonts w:ascii="Tahoma" w:eastAsiaTheme="minorHAnsi" w:hAnsi="Tahoma"/>
                <w:b/>
                <w:noProof/>
                <w:sz w:val="20"/>
                <w:szCs w:val="20"/>
                <w:lang w:val="en-US"/>
              </w:rPr>
              <w:t>(во %)</w:t>
            </w:r>
          </w:p>
          <w:p w:rsidR="009712F1" w:rsidRDefault="009712F1" w:rsidP="001012C6">
            <w:pPr>
              <w:jc w:val="both"/>
              <w:rPr>
                <w:rFonts w:ascii="Tahoma" w:hAnsi="Tahoma"/>
                <w:noProof/>
                <w:sz w:val="20"/>
                <w:szCs w:val="20"/>
              </w:rPr>
            </w:pPr>
          </w:p>
          <w:p w:rsidR="009712F1"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981450" cy="28765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876550"/>
                          </a:xfrm>
                          <a:prstGeom prst="rect">
                            <a:avLst/>
                          </a:prstGeom>
                          <a:noFill/>
                          <a:ln>
                            <a:noFill/>
                          </a:ln>
                        </pic:spPr>
                      </pic:pic>
                    </a:graphicData>
                  </a:graphic>
                </wp:inline>
              </w:drawing>
            </w:r>
          </w:p>
          <w:p w:rsidR="009712F1" w:rsidRDefault="009712F1"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Pr="003979C0" w:rsidRDefault="00CE189E" w:rsidP="001012C6">
            <w:pPr>
              <w:jc w:val="both"/>
              <w:rPr>
                <w:rFonts w:ascii="Tahoma" w:hAnsi="Tahoma"/>
                <w:noProof/>
                <w:sz w:val="20"/>
                <w:szCs w:val="20"/>
              </w:rPr>
            </w:pPr>
          </w:p>
        </w:tc>
        <w:tc>
          <w:tcPr>
            <w:tcW w:w="4244" w:type="dxa"/>
            <w:vAlign w:val="center"/>
          </w:tcPr>
          <w:p w:rsidR="00132D29" w:rsidRDefault="009712F1" w:rsidP="001012C6">
            <w:pPr>
              <w:jc w:val="both"/>
              <w:rPr>
                <w:rFonts w:ascii="Tahoma" w:hAnsi="Tahoma"/>
                <w:b/>
                <w:szCs w:val="22"/>
              </w:rPr>
            </w:pPr>
            <w:r>
              <w:rPr>
                <w:rFonts w:ascii="Tahoma" w:eastAsiaTheme="minorHAnsi" w:hAnsi="Tahoma"/>
                <w:szCs w:val="22"/>
              </w:rPr>
              <w:t>Во однос на в</w:t>
            </w:r>
            <w:r w:rsidRPr="007A3585">
              <w:rPr>
                <w:rFonts w:ascii="Tahoma" w:eastAsiaTheme="minorHAnsi" w:hAnsi="Tahoma"/>
                <w:szCs w:val="22"/>
              </w:rPr>
              <w:t>алутната структура на вкупните депозити</w:t>
            </w:r>
            <w:r>
              <w:rPr>
                <w:rFonts w:ascii="Tahoma" w:eastAsiaTheme="minorHAnsi" w:hAnsi="Tahoma"/>
                <w:szCs w:val="22"/>
              </w:rPr>
              <w:t xml:space="preserve"> не се забележани позначајни промени во однос на претходниот квартал, при што штедењето во домашна валута и натаму има поголемо учество во вкупните депозити.</w:t>
            </w:r>
          </w:p>
        </w:tc>
      </w:tr>
      <w:tr w:rsidR="00132D29" w:rsidRPr="007C6D1F" w:rsidTr="009A3F89">
        <w:trPr>
          <w:trHeight w:val="97"/>
        </w:trPr>
        <w:tc>
          <w:tcPr>
            <w:tcW w:w="6487" w:type="dxa"/>
          </w:tcPr>
          <w:p w:rsidR="00132D29" w:rsidRDefault="00132D29" w:rsidP="001012C6">
            <w:pPr>
              <w:jc w:val="both"/>
              <w:rPr>
                <w:rFonts w:ascii="Tahoma" w:hAnsi="Tahoma"/>
                <w:noProof/>
                <w:sz w:val="20"/>
                <w:szCs w:val="20"/>
              </w:rPr>
            </w:pPr>
          </w:p>
          <w:p w:rsidR="009712F1" w:rsidRPr="009712F1" w:rsidRDefault="009712F1" w:rsidP="009712F1">
            <w:pPr>
              <w:keepNext/>
              <w:jc w:val="both"/>
              <w:rPr>
                <w:rFonts w:ascii="Tahoma" w:hAnsi="Tahoma"/>
                <w:b/>
                <w:noProof/>
                <w:sz w:val="20"/>
                <w:szCs w:val="20"/>
              </w:rPr>
            </w:pPr>
            <w:r w:rsidRPr="009712F1">
              <w:rPr>
                <w:rFonts w:ascii="Tahoma" w:hAnsi="Tahoma"/>
                <w:b/>
                <w:noProof/>
                <w:sz w:val="20"/>
                <w:szCs w:val="20"/>
              </w:rPr>
              <w:t>Учество на денарските депозити во вкупните депозити на населението, во %</w:t>
            </w:r>
          </w:p>
          <w:p w:rsidR="009712F1" w:rsidRPr="009712F1" w:rsidRDefault="009712F1" w:rsidP="009712F1">
            <w:pPr>
              <w:keepNext/>
              <w:rPr>
                <w:rFonts w:ascii="Tahoma" w:hAnsi="Tahoma"/>
                <w:b/>
                <w:noProof/>
                <w:sz w:val="16"/>
                <w:szCs w:val="16"/>
              </w:rPr>
            </w:pPr>
            <w:r w:rsidRPr="009712F1">
              <w:rPr>
                <w:rFonts w:ascii="Tahoma" w:hAnsi="Tahoma"/>
                <w:noProof/>
                <w:sz w:val="16"/>
                <w:szCs w:val="16"/>
              </w:rPr>
              <w:t>*Вклучува депозитни пари.</w:t>
            </w:r>
          </w:p>
          <w:p w:rsidR="009712F1" w:rsidRDefault="009712F1" w:rsidP="001012C6">
            <w:pPr>
              <w:jc w:val="both"/>
              <w:rPr>
                <w:rFonts w:ascii="Tahoma" w:hAnsi="Tahoma"/>
                <w:noProof/>
                <w:sz w:val="20"/>
                <w:szCs w:val="20"/>
              </w:rPr>
            </w:pPr>
          </w:p>
          <w:p w:rsidR="009712F1"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981450" cy="28860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886075"/>
                          </a:xfrm>
                          <a:prstGeom prst="rect">
                            <a:avLst/>
                          </a:prstGeom>
                          <a:noFill/>
                          <a:ln>
                            <a:noFill/>
                          </a:ln>
                        </pic:spPr>
                      </pic:pic>
                    </a:graphicData>
                  </a:graphic>
                </wp:inline>
              </w:drawing>
            </w: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Pr="003979C0" w:rsidRDefault="009712F1" w:rsidP="001012C6">
            <w:pPr>
              <w:jc w:val="both"/>
              <w:rPr>
                <w:rFonts w:ascii="Tahoma" w:hAnsi="Tahoma"/>
                <w:noProof/>
                <w:sz w:val="20"/>
                <w:szCs w:val="20"/>
              </w:rPr>
            </w:pPr>
          </w:p>
        </w:tc>
        <w:tc>
          <w:tcPr>
            <w:tcW w:w="4244" w:type="dxa"/>
          </w:tcPr>
          <w:p w:rsidR="00A60D26" w:rsidRDefault="00A60D26" w:rsidP="00ED6CEF">
            <w:pPr>
              <w:jc w:val="both"/>
              <w:rPr>
                <w:rFonts w:ascii="Tahoma" w:hAnsi="Tahoma"/>
                <w:szCs w:val="22"/>
              </w:rPr>
            </w:pPr>
          </w:p>
          <w:p w:rsidR="00A60D26" w:rsidRDefault="00A60D26" w:rsidP="00ED6CEF">
            <w:pPr>
              <w:jc w:val="both"/>
              <w:rPr>
                <w:rFonts w:ascii="Tahoma" w:hAnsi="Tahoma"/>
                <w:szCs w:val="22"/>
              </w:rPr>
            </w:pPr>
          </w:p>
          <w:p w:rsidR="00A60D26" w:rsidRDefault="00A60D26" w:rsidP="00ED6CEF">
            <w:pPr>
              <w:jc w:val="both"/>
              <w:rPr>
                <w:rFonts w:ascii="Tahoma" w:hAnsi="Tahoma"/>
                <w:szCs w:val="22"/>
              </w:rPr>
            </w:pPr>
          </w:p>
          <w:p w:rsidR="00A60D26" w:rsidRDefault="00A60D26" w:rsidP="00ED6CEF">
            <w:pPr>
              <w:jc w:val="both"/>
              <w:rPr>
                <w:rFonts w:ascii="Tahoma" w:hAnsi="Tahoma"/>
                <w:szCs w:val="22"/>
              </w:rPr>
            </w:pPr>
          </w:p>
          <w:p w:rsidR="00A60D26" w:rsidRDefault="00A60D26" w:rsidP="00ED6CEF">
            <w:pPr>
              <w:jc w:val="both"/>
              <w:rPr>
                <w:rFonts w:ascii="Tahoma" w:hAnsi="Tahoma"/>
                <w:szCs w:val="22"/>
              </w:rPr>
            </w:pPr>
          </w:p>
          <w:p w:rsidR="00A60D26" w:rsidRDefault="00A60D26" w:rsidP="00ED6CEF">
            <w:pPr>
              <w:jc w:val="both"/>
              <w:rPr>
                <w:rFonts w:ascii="Tahoma" w:hAnsi="Tahoma"/>
                <w:szCs w:val="22"/>
              </w:rPr>
            </w:pPr>
          </w:p>
          <w:p w:rsidR="00132D29" w:rsidRDefault="009712F1" w:rsidP="00ED6CEF">
            <w:pPr>
              <w:jc w:val="both"/>
              <w:rPr>
                <w:rFonts w:ascii="Tahoma" w:hAnsi="Tahoma"/>
                <w:b/>
                <w:szCs w:val="22"/>
              </w:rPr>
            </w:pPr>
            <w:r w:rsidRPr="001B0593">
              <w:rPr>
                <w:rFonts w:ascii="Tahoma" w:hAnsi="Tahoma"/>
                <w:szCs w:val="22"/>
              </w:rPr>
              <w:t xml:space="preserve">Вкупните депозити на населението во јуни бележат умерен месечен раст којшто во целост се должи на растот на денарските депозити при незначително месечно намалување на девизните депозити. Во вакви услови, учеството на денарските депозити во вкупните депозити на </w:t>
            </w:r>
            <w:r w:rsidRPr="00793692">
              <w:rPr>
                <w:rFonts w:ascii="Tahoma" w:hAnsi="Tahoma"/>
                <w:szCs w:val="22"/>
              </w:rPr>
              <w:t>населението не забележа позначајни поместувања и во јуни изнесува 50,8%.</w:t>
            </w:r>
            <w:r w:rsidRPr="001B0593">
              <w:rPr>
                <w:rFonts w:ascii="Tahoma" w:hAnsi="Tahoma"/>
                <w:szCs w:val="22"/>
              </w:rPr>
              <w:t xml:space="preserve">  </w:t>
            </w:r>
          </w:p>
        </w:tc>
      </w:tr>
      <w:tr w:rsidR="009712F1" w:rsidRPr="007C6D1F" w:rsidTr="000520C2">
        <w:trPr>
          <w:trHeight w:val="97"/>
        </w:trPr>
        <w:tc>
          <w:tcPr>
            <w:tcW w:w="6487" w:type="dxa"/>
          </w:tcPr>
          <w:p w:rsidR="009712F1" w:rsidRPr="009712F1" w:rsidRDefault="009712F1" w:rsidP="009712F1">
            <w:pPr>
              <w:keepNext/>
              <w:jc w:val="both"/>
              <w:rPr>
                <w:rFonts w:ascii="Tahoma" w:hAnsi="Tahoma"/>
                <w:b/>
                <w:noProof/>
                <w:sz w:val="20"/>
                <w:szCs w:val="20"/>
              </w:rPr>
            </w:pPr>
            <w:r w:rsidRPr="009712F1">
              <w:rPr>
                <w:rFonts w:ascii="Tahoma" w:hAnsi="Tahoma"/>
                <w:b/>
                <w:noProof/>
                <w:sz w:val="20"/>
                <w:szCs w:val="20"/>
              </w:rPr>
              <w:t>Каматни стапки на денарски и девизни депозити, во %</w:t>
            </w: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Cs w:val="22"/>
              </w:rPr>
            </w:pPr>
          </w:p>
          <w:p w:rsidR="009712F1" w:rsidRDefault="009712F1" w:rsidP="001012C6">
            <w:pPr>
              <w:jc w:val="both"/>
              <w:rPr>
                <w:rFonts w:ascii="Tahoma" w:hAnsi="Tahoma"/>
                <w:noProof/>
                <w:sz w:val="20"/>
                <w:szCs w:val="20"/>
              </w:rPr>
            </w:pPr>
            <w:r>
              <w:rPr>
                <w:rFonts w:ascii="Tahoma" w:hAnsi="Tahoma"/>
                <w:noProof/>
                <w:szCs w:val="22"/>
                <w:lang w:val="en-US"/>
              </w:rPr>
              <w:drawing>
                <wp:inline distT="0" distB="0" distL="0" distR="0">
                  <wp:extent cx="3880236" cy="286247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0385" cy="2862580"/>
                          </a:xfrm>
                          <a:prstGeom prst="rect">
                            <a:avLst/>
                          </a:prstGeom>
                          <a:noFill/>
                          <a:ln>
                            <a:noFill/>
                          </a:ln>
                        </pic:spPr>
                      </pic:pic>
                    </a:graphicData>
                  </a:graphic>
                </wp:inline>
              </w:drawing>
            </w:r>
          </w:p>
          <w:p w:rsidR="009712F1" w:rsidRPr="003979C0" w:rsidRDefault="009712F1" w:rsidP="001012C6">
            <w:pPr>
              <w:jc w:val="both"/>
              <w:rPr>
                <w:rFonts w:ascii="Tahoma" w:hAnsi="Tahoma"/>
                <w:noProof/>
                <w:sz w:val="20"/>
                <w:szCs w:val="20"/>
              </w:rPr>
            </w:pPr>
          </w:p>
        </w:tc>
        <w:tc>
          <w:tcPr>
            <w:tcW w:w="4244" w:type="dxa"/>
            <w:vMerge w:val="restart"/>
            <w:vAlign w:val="center"/>
          </w:tcPr>
          <w:p w:rsidR="009712F1" w:rsidRPr="009712F1" w:rsidRDefault="009712F1" w:rsidP="009712F1">
            <w:pPr>
              <w:jc w:val="both"/>
              <w:rPr>
                <w:rFonts w:ascii="Tahoma" w:hAnsi="Tahoma"/>
                <w:szCs w:val="22"/>
              </w:rPr>
            </w:pPr>
            <w:r w:rsidRPr="009712F1">
              <w:rPr>
                <w:rFonts w:ascii="Tahoma" w:hAnsi="Tahoma"/>
                <w:szCs w:val="22"/>
              </w:rPr>
              <w:t>Во јуни</w:t>
            </w:r>
            <w:r w:rsidR="00D34DB0">
              <w:rPr>
                <w:rFonts w:ascii="Tahoma" w:hAnsi="Tahoma"/>
                <w:szCs w:val="22"/>
              </w:rPr>
              <w:t>,</w:t>
            </w:r>
            <w:r w:rsidRPr="009712F1">
              <w:rPr>
                <w:rFonts w:ascii="Tahoma" w:hAnsi="Tahoma"/>
                <w:szCs w:val="22"/>
              </w:rPr>
              <w:t xml:space="preserve"> каматните стапки на денарските и </w:t>
            </w:r>
            <w:r w:rsidR="00D34DB0">
              <w:rPr>
                <w:rFonts w:ascii="Tahoma" w:hAnsi="Tahoma"/>
                <w:szCs w:val="22"/>
              </w:rPr>
              <w:t xml:space="preserve">на </w:t>
            </w:r>
            <w:r w:rsidRPr="009712F1">
              <w:rPr>
                <w:rFonts w:ascii="Tahoma" w:hAnsi="Tahoma"/>
                <w:szCs w:val="22"/>
              </w:rPr>
              <w:t xml:space="preserve">девизните депозити (вкупни и </w:t>
            </w:r>
            <w:proofErr w:type="spellStart"/>
            <w:r w:rsidRPr="009712F1">
              <w:rPr>
                <w:rFonts w:ascii="Tahoma" w:hAnsi="Tahoma"/>
                <w:szCs w:val="22"/>
              </w:rPr>
              <w:t>новопримени</w:t>
            </w:r>
            <w:proofErr w:type="spellEnd"/>
            <w:r w:rsidRPr="009712F1">
              <w:rPr>
                <w:rFonts w:ascii="Tahoma" w:hAnsi="Tahoma"/>
                <w:szCs w:val="22"/>
              </w:rPr>
              <w:t>) не забележаа позначителни промени во однос на претходниот месец, што резултира со задржување на релативно стабилен каматен распон помеѓу денарското и девизното штедење, како  во однос на вкупните, така и во однос на нов</w:t>
            </w:r>
            <w:r w:rsidR="00D34DB0">
              <w:rPr>
                <w:rFonts w:ascii="Tahoma" w:hAnsi="Tahoma"/>
                <w:szCs w:val="22"/>
              </w:rPr>
              <w:t>ите</w:t>
            </w:r>
            <w:r w:rsidRPr="009712F1">
              <w:rPr>
                <w:rFonts w:ascii="Tahoma" w:hAnsi="Tahoma"/>
                <w:szCs w:val="22"/>
              </w:rPr>
              <w:t xml:space="preserve"> депозити.</w:t>
            </w:r>
          </w:p>
          <w:p w:rsidR="009712F1" w:rsidRDefault="009712F1" w:rsidP="001012C6">
            <w:pPr>
              <w:jc w:val="both"/>
              <w:rPr>
                <w:rFonts w:ascii="Tahoma" w:hAnsi="Tahoma"/>
                <w:b/>
                <w:szCs w:val="22"/>
              </w:rPr>
            </w:pPr>
          </w:p>
        </w:tc>
      </w:tr>
      <w:tr w:rsidR="009712F1" w:rsidRPr="007C6D1F" w:rsidTr="000520C2">
        <w:trPr>
          <w:trHeight w:val="97"/>
        </w:trPr>
        <w:tc>
          <w:tcPr>
            <w:tcW w:w="6487" w:type="dxa"/>
          </w:tcPr>
          <w:p w:rsidR="009712F1" w:rsidRDefault="009712F1"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9712F1" w:rsidRDefault="009712F1" w:rsidP="001012C6">
            <w:pPr>
              <w:jc w:val="both"/>
              <w:rPr>
                <w:rFonts w:ascii="Tahoma" w:hAnsi="Tahoma"/>
                <w:b/>
                <w:noProof/>
                <w:sz w:val="20"/>
                <w:szCs w:val="20"/>
              </w:rPr>
            </w:pPr>
            <w:r w:rsidRPr="001B0593">
              <w:rPr>
                <w:rFonts w:ascii="Tahoma" w:hAnsi="Tahoma"/>
                <w:b/>
                <w:noProof/>
                <w:sz w:val="20"/>
                <w:szCs w:val="20"/>
              </w:rPr>
              <w:t>Каматни стапки на новопримени денарски и девизни депозити, во %</w:t>
            </w:r>
          </w:p>
          <w:p w:rsidR="009712F1" w:rsidRDefault="009712F1" w:rsidP="001012C6">
            <w:pPr>
              <w:jc w:val="both"/>
              <w:rPr>
                <w:rFonts w:ascii="Tahoma" w:hAnsi="Tahoma"/>
                <w:noProof/>
                <w:sz w:val="20"/>
                <w:szCs w:val="20"/>
              </w:rPr>
            </w:pPr>
            <w:r>
              <w:rPr>
                <w:rFonts w:ascii="Tahoma" w:hAnsi="Tahoma"/>
                <w:b/>
                <w:noProof/>
                <w:szCs w:val="22"/>
                <w:lang w:val="en-US"/>
              </w:rPr>
              <w:drawing>
                <wp:inline distT="0" distB="0" distL="0" distR="0">
                  <wp:extent cx="3983355" cy="2926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3355" cy="2926080"/>
                          </a:xfrm>
                          <a:prstGeom prst="rect">
                            <a:avLst/>
                          </a:prstGeom>
                          <a:noFill/>
                          <a:ln>
                            <a:noFill/>
                          </a:ln>
                        </pic:spPr>
                      </pic:pic>
                    </a:graphicData>
                  </a:graphic>
                </wp:inline>
              </w:drawing>
            </w: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Pr="003979C0" w:rsidRDefault="009712F1" w:rsidP="001012C6">
            <w:pPr>
              <w:jc w:val="both"/>
              <w:rPr>
                <w:rFonts w:ascii="Tahoma" w:hAnsi="Tahoma"/>
                <w:noProof/>
                <w:sz w:val="20"/>
                <w:szCs w:val="20"/>
              </w:rPr>
            </w:pPr>
          </w:p>
        </w:tc>
        <w:tc>
          <w:tcPr>
            <w:tcW w:w="4244" w:type="dxa"/>
            <w:vMerge/>
            <w:vAlign w:val="center"/>
          </w:tcPr>
          <w:p w:rsidR="009712F1" w:rsidRDefault="009712F1" w:rsidP="001012C6">
            <w:pPr>
              <w:jc w:val="both"/>
              <w:rPr>
                <w:rFonts w:ascii="Tahoma" w:hAnsi="Tahoma"/>
                <w:b/>
                <w:szCs w:val="22"/>
              </w:rPr>
            </w:pPr>
          </w:p>
        </w:tc>
      </w:tr>
      <w:tr w:rsidR="00132D29" w:rsidRPr="007C6D1F" w:rsidTr="000520C2">
        <w:trPr>
          <w:trHeight w:val="97"/>
        </w:trPr>
        <w:tc>
          <w:tcPr>
            <w:tcW w:w="6487" w:type="dxa"/>
          </w:tcPr>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Default="009712F1" w:rsidP="001012C6">
            <w:pPr>
              <w:jc w:val="both"/>
              <w:rPr>
                <w:rFonts w:ascii="Tahoma" w:hAnsi="Tahoma"/>
                <w:noProof/>
                <w:sz w:val="20"/>
                <w:szCs w:val="20"/>
              </w:rPr>
            </w:pPr>
          </w:p>
          <w:p w:rsidR="009712F1" w:rsidRPr="009712F1" w:rsidRDefault="009712F1" w:rsidP="009712F1">
            <w:pPr>
              <w:keepNext/>
              <w:rPr>
                <w:rFonts w:ascii="Tahoma" w:hAnsi="Tahoma"/>
                <w:b/>
                <w:noProof/>
                <w:szCs w:val="22"/>
              </w:rPr>
            </w:pPr>
            <w:r w:rsidRPr="009712F1">
              <w:rPr>
                <w:rFonts w:ascii="Tahoma" w:hAnsi="Tahoma"/>
                <w:b/>
                <w:noProof/>
                <w:szCs w:val="22"/>
              </w:rPr>
              <w:t>Најширока парична маса, М4</w:t>
            </w:r>
          </w:p>
          <w:p w:rsidR="009712F1" w:rsidRDefault="009712F1" w:rsidP="001012C6">
            <w:pPr>
              <w:jc w:val="both"/>
              <w:rPr>
                <w:rFonts w:ascii="Tahoma" w:hAnsi="Tahoma"/>
                <w:noProof/>
                <w:sz w:val="20"/>
                <w:szCs w:val="20"/>
              </w:rPr>
            </w:pPr>
          </w:p>
          <w:p w:rsidR="009712F1"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981450" cy="2971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971800"/>
                          </a:xfrm>
                          <a:prstGeom prst="rect">
                            <a:avLst/>
                          </a:prstGeom>
                          <a:noFill/>
                          <a:ln>
                            <a:noFill/>
                          </a:ln>
                        </pic:spPr>
                      </pic:pic>
                    </a:graphicData>
                  </a:graphic>
                </wp:inline>
              </w:drawing>
            </w:r>
          </w:p>
          <w:p w:rsidR="009712F1" w:rsidRDefault="009712F1"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9712F1" w:rsidRPr="003979C0" w:rsidRDefault="009712F1" w:rsidP="001012C6">
            <w:pPr>
              <w:jc w:val="both"/>
              <w:rPr>
                <w:rFonts w:ascii="Tahoma" w:hAnsi="Tahoma"/>
                <w:noProof/>
                <w:sz w:val="20"/>
                <w:szCs w:val="20"/>
              </w:rPr>
            </w:pPr>
          </w:p>
        </w:tc>
        <w:tc>
          <w:tcPr>
            <w:tcW w:w="4244" w:type="dxa"/>
            <w:vAlign w:val="center"/>
          </w:tcPr>
          <w:p w:rsidR="009712F1" w:rsidRDefault="009712F1" w:rsidP="009712F1">
            <w:pPr>
              <w:jc w:val="both"/>
              <w:rPr>
                <w:rFonts w:ascii="Tahoma" w:hAnsi="Tahoma"/>
                <w:szCs w:val="22"/>
              </w:rPr>
            </w:pPr>
          </w:p>
          <w:p w:rsidR="009712F1" w:rsidRDefault="009712F1" w:rsidP="009712F1">
            <w:pPr>
              <w:jc w:val="both"/>
              <w:rPr>
                <w:rFonts w:ascii="Tahoma" w:hAnsi="Tahoma"/>
                <w:szCs w:val="22"/>
              </w:rPr>
            </w:pPr>
          </w:p>
          <w:p w:rsidR="009712F1" w:rsidRDefault="009712F1" w:rsidP="009712F1">
            <w:pPr>
              <w:jc w:val="both"/>
              <w:rPr>
                <w:rFonts w:ascii="Tahoma" w:hAnsi="Tahoma"/>
                <w:szCs w:val="22"/>
              </w:rPr>
            </w:pPr>
          </w:p>
          <w:p w:rsidR="009712F1" w:rsidRPr="009712F1" w:rsidRDefault="009712F1" w:rsidP="009712F1">
            <w:pPr>
              <w:jc w:val="both"/>
              <w:rPr>
                <w:rFonts w:ascii="Tahoma" w:hAnsi="Tahoma"/>
                <w:szCs w:val="22"/>
              </w:rPr>
            </w:pPr>
            <w:r w:rsidRPr="009712F1">
              <w:rPr>
                <w:rFonts w:ascii="Tahoma" w:hAnsi="Tahoma"/>
                <w:szCs w:val="22"/>
              </w:rPr>
              <w:t xml:space="preserve">Остварувањата кај паричната маса заклучно со јуни упатуваат на помал </w:t>
            </w:r>
            <w:r w:rsidR="003974AB">
              <w:rPr>
                <w:rFonts w:ascii="Tahoma" w:hAnsi="Tahoma"/>
                <w:szCs w:val="22"/>
              </w:rPr>
              <w:t>монетарен раст во однос на проекцијата</w:t>
            </w:r>
            <w:r w:rsidRPr="009712F1">
              <w:rPr>
                <w:rFonts w:ascii="Tahoma" w:hAnsi="Tahoma"/>
                <w:szCs w:val="22"/>
              </w:rPr>
              <w:t xml:space="preserve">... </w:t>
            </w:r>
          </w:p>
          <w:p w:rsidR="009712F1" w:rsidRPr="009712F1" w:rsidRDefault="009712F1" w:rsidP="009712F1">
            <w:pPr>
              <w:jc w:val="both"/>
              <w:rPr>
                <w:rFonts w:ascii="Tahoma" w:hAnsi="Tahoma"/>
                <w:szCs w:val="22"/>
                <w:highlight w:val="yellow"/>
              </w:rPr>
            </w:pPr>
          </w:p>
          <w:p w:rsidR="009712F1" w:rsidRPr="009712F1" w:rsidRDefault="009712F1" w:rsidP="009712F1">
            <w:pPr>
              <w:jc w:val="both"/>
              <w:rPr>
                <w:rFonts w:ascii="Tahoma" w:hAnsi="Tahoma"/>
                <w:szCs w:val="22"/>
                <w:highlight w:val="yellow"/>
              </w:rPr>
            </w:pPr>
          </w:p>
          <w:p w:rsidR="009712F1" w:rsidRPr="009712F1" w:rsidRDefault="009712F1" w:rsidP="009712F1">
            <w:pPr>
              <w:jc w:val="both"/>
              <w:rPr>
                <w:rFonts w:ascii="Tahoma" w:hAnsi="Tahoma"/>
                <w:szCs w:val="22"/>
              </w:rPr>
            </w:pPr>
            <w:r w:rsidRPr="009712F1">
              <w:rPr>
                <w:rFonts w:ascii="Tahoma" w:hAnsi="Tahoma"/>
                <w:szCs w:val="22"/>
              </w:rPr>
              <w:t xml:space="preserve">...во услови на малку повисоки остварувања кај готовите пари во оптек и послаби движења на вкупните депозити, согласно </w:t>
            </w:r>
            <w:r w:rsidR="00D34DB0">
              <w:rPr>
                <w:rFonts w:ascii="Tahoma" w:hAnsi="Tahoma"/>
                <w:szCs w:val="22"/>
              </w:rPr>
              <w:t xml:space="preserve">со </w:t>
            </w:r>
            <w:r w:rsidRPr="009712F1">
              <w:rPr>
                <w:rFonts w:ascii="Tahoma" w:hAnsi="Tahoma"/>
                <w:szCs w:val="22"/>
              </w:rPr>
              <w:t>априлската проекција.</w:t>
            </w:r>
          </w:p>
          <w:p w:rsidR="00132D29" w:rsidRDefault="00132D29" w:rsidP="001012C6">
            <w:pPr>
              <w:jc w:val="both"/>
              <w:rPr>
                <w:rFonts w:ascii="Tahoma" w:hAnsi="Tahoma"/>
                <w:b/>
                <w:szCs w:val="22"/>
              </w:rPr>
            </w:pPr>
          </w:p>
        </w:tc>
      </w:tr>
      <w:tr w:rsidR="00B50BE9" w:rsidRPr="007C6D1F" w:rsidTr="000520C2">
        <w:trPr>
          <w:trHeight w:val="97"/>
        </w:trPr>
        <w:tc>
          <w:tcPr>
            <w:tcW w:w="6487" w:type="dxa"/>
            <w:vMerge w:val="restart"/>
          </w:tcPr>
          <w:p w:rsidR="00B50BE9" w:rsidRDefault="00B50BE9" w:rsidP="00B50BE9">
            <w:pPr>
              <w:jc w:val="both"/>
              <w:rPr>
                <w:rFonts w:ascii="Tahoma" w:hAnsi="Tahoma"/>
                <w:b/>
                <w:szCs w:val="22"/>
              </w:rPr>
            </w:pPr>
            <w:r w:rsidRPr="005F3B4F">
              <w:rPr>
                <w:rFonts w:ascii="Tahoma" w:hAnsi="Tahoma"/>
                <w:b/>
                <w:szCs w:val="22"/>
              </w:rPr>
              <w:lastRenderedPageBreak/>
              <w:t>Вкупни кредити</w:t>
            </w:r>
          </w:p>
          <w:p w:rsidR="008D70B2" w:rsidRDefault="008D70B2" w:rsidP="00B50BE9">
            <w:pPr>
              <w:jc w:val="both"/>
              <w:rPr>
                <w:rFonts w:ascii="Tahoma" w:hAnsi="Tahoma"/>
                <w:b/>
                <w:szCs w:val="22"/>
              </w:rPr>
            </w:pPr>
            <w:r>
              <w:rPr>
                <w:rFonts w:ascii="Tahoma" w:hAnsi="Tahoma"/>
                <w:b/>
                <w:noProof/>
                <w:szCs w:val="22"/>
                <w:lang w:val="en-US"/>
              </w:rPr>
              <w:drawing>
                <wp:inline distT="0" distB="0" distL="0" distR="0">
                  <wp:extent cx="3981450" cy="35242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3524250"/>
                          </a:xfrm>
                          <a:prstGeom prst="rect">
                            <a:avLst/>
                          </a:prstGeom>
                          <a:noFill/>
                          <a:ln>
                            <a:noFill/>
                          </a:ln>
                        </pic:spPr>
                      </pic:pic>
                    </a:graphicData>
                  </a:graphic>
                </wp:inline>
              </w:drawing>
            </w: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8D70B2" w:rsidRDefault="008D70B2" w:rsidP="00B50BE9">
            <w:pPr>
              <w:jc w:val="both"/>
              <w:rPr>
                <w:rFonts w:ascii="Tahoma" w:hAnsi="Tahoma"/>
                <w:b/>
                <w:szCs w:val="22"/>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Default="00B50BE9" w:rsidP="001012C6">
            <w:pPr>
              <w:jc w:val="both"/>
              <w:rPr>
                <w:rFonts w:ascii="Tahoma" w:hAnsi="Tahoma"/>
                <w:noProof/>
                <w:sz w:val="20"/>
                <w:szCs w:val="20"/>
              </w:rPr>
            </w:pPr>
          </w:p>
          <w:p w:rsidR="00B50BE9" w:rsidRPr="003979C0" w:rsidRDefault="00B50BE9" w:rsidP="00940EB5">
            <w:pPr>
              <w:jc w:val="both"/>
              <w:rPr>
                <w:rFonts w:ascii="Tahoma" w:hAnsi="Tahoma"/>
                <w:noProof/>
                <w:sz w:val="20"/>
                <w:szCs w:val="20"/>
              </w:rPr>
            </w:pPr>
          </w:p>
        </w:tc>
        <w:tc>
          <w:tcPr>
            <w:tcW w:w="4244" w:type="dxa"/>
            <w:vAlign w:val="center"/>
          </w:tcPr>
          <w:p w:rsidR="00B50BE9" w:rsidRDefault="00B50BE9" w:rsidP="001012C6">
            <w:pPr>
              <w:jc w:val="both"/>
              <w:rPr>
                <w:rFonts w:ascii="Tahoma" w:hAnsi="Tahoma"/>
                <w:b/>
                <w:szCs w:val="22"/>
              </w:rPr>
            </w:pPr>
          </w:p>
        </w:tc>
      </w:tr>
      <w:tr w:rsidR="00B50BE9" w:rsidRPr="007C6D1F" w:rsidTr="000520C2">
        <w:trPr>
          <w:trHeight w:val="97"/>
        </w:trPr>
        <w:tc>
          <w:tcPr>
            <w:tcW w:w="6487" w:type="dxa"/>
            <w:vMerge/>
          </w:tcPr>
          <w:p w:rsidR="00B50BE9" w:rsidRPr="003979C0" w:rsidRDefault="00B50BE9" w:rsidP="001012C6">
            <w:pPr>
              <w:jc w:val="both"/>
              <w:rPr>
                <w:rFonts w:ascii="Tahoma" w:hAnsi="Tahoma"/>
                <w:noProof/>
                <w:sz w:val="20"/>
                <w:szCs w:val="20"/>
              </w:rPr>
            </w:pPr>
          </w:p>
        </w:tc>
        <w:tc>
          <w:tcPr>
            <w:tcW w:w="4244" w:type="dxa"/>
            <w:vAlign w:val="center"/>
          </w:tcPr>
          <w:p w:rsidR="00B50BE9" w:rsidRDefault="00D34DB0" w:rsidP="009712F1">
            <w:pPr>
              <w:jc w:val="both"/>
              <w:rPr>
                <w:rFonts w:ascii="Tahoma" w:hAnsi="Tahoma"/>
                <w:szCs w:val="22"/>
              </w:rPr>
            </w:pPr>
            <w:r>
              <w:rPr>
                <w:rFonts w:ascii="Tahoma" w:hAnsi="Tahoma"/>
                <w:szCs w:val="22"/>
              </w:rPr>
              <w:t xml:space="preserve">Според </w:t>
            </w:r>
            <w:r w:rsidR="00B50BE9" w:rsidRPr="009712F1">
              <w:rPr>
                <w:rFonts w:ascii="Tahoma" w:hAnsi="Tahoma"/>
                <w:szCs w:val="22"/>
              </w:rPr>
              <w:t>податоците заклучно со јуни, на кредитниот пазар се забележани натамошни поволни движења</w:t>
            </w:r>
            <w:r>
              <w:rPr>
                <w:rFonts w:ascii="Tahoma" w:hAnsi="Tahoma"/>
                <w:szCs w:val="22"/>
              </w:rPr>
              <w:t>,</w:t>
            </w:r>
            <w:r w:rsidR="00B50BE9" w:rsidRPr="009712F1">
              <w:rPr>
                <w:rFonts w:ascii="Tahoma" w:hAnsi="Tahoma"/>
                <w:szCs w:val="22"/>
              </w:rPr>
              <w:t xml:space="preserve"> при што остварениот месечен прираст е малку послаб во однос на претходниот месец</w:t>
            </w:r>
            <w:r w:rsidR="00B50BE9" w:rsidRPr="009712F1">
              <w:rPr>
                <w:rFonts w:ascii="Tahoma" w:hAnsi="Tahoma"/>
                <w:b/>
                <w:szCs w:val="22"/>
              </w:rPr>
              <w:t xml:space="preserve"> </w:t>
            </w:r>
            <w:r w:rsidR="00B50BE9" w:rsidRPr="009712F1">
              <w:rPr>
                <w:rFonts w:ascii="Tahoma" w:hAnsi="Tahoma"/>
                <w:szCs w:val="22"/>
              </w:rPr>
              <w:t>(кога беше регистриран највисок раст на месечна основа од отпочнувањето на кризата).</w:t>
            </w:r>
            <w:r w:rsidR="00B50BE9" w:rsidRPr="009712F1">
              <w:rPr>
                <w:rFonts w:ascii="Tahoma" w:hAnsi="Tahoma"/>
                <w:b/>
                <w:szCs w:val="22"/>
              </w:rPr>
              <w:t xml:space="preserve"> </w:t>
            </w:r>
            <w:r w:rsidR="00B50BE9" w:rsidRPr="009712F1">
              <w:rPr>
                <w:rFonts w:ascii="Tahoma" w:hAnsi="Tahoma"/>
                <w:szCs w:val="22"/>
              </w:rPr>
              <w:t>Во текот на јуни, продолжува посилното кредитирање на претпријатијата споредено со кредитите одобрени на населението</w:t>
            </w:r>
            <w:r w:rsidR="00B50BE9">
              <w:rPr>
                <w:rFonts w:ascii="Tahoma" w:hAnsi="Tahoma"/>
                <w:szCs w:val="22"/>
              </w:rPr>
              <w:t>,</w:t>
            </w:r>
            <w:r w:rsidR="00B50BE9" w:rsidRPr="009712F1">
              <w:rPr>
                <w:rFonts w:ascii="Tahoma" w:hAnsi="Tahoma"/>
                <w:szCs w:val="22"/>
              </w:rPr>
              <w:t xml:space="preserve"> при што </w:t>
            </w:r>
            <w:r w:rsidR="00CB7931">
              <w:rPr>
                <w:rFonts w:ascii="Tahoma" w:hAnsi="Tahoma"/>
                <w:szCs w:val="22"/>
              </w:rPr>
              <w:t xml:space="preserve">на </w:t>
            </w:r>
            <w:r w:rsidR="00B50BE9" w:rsidRPr="009712F1">
              <w:rPr>
                <w:rFonts w:ascii="Tahoma" w:hAnsi="Tahoma"/>
                <w:szCs w:val="22"/>
              </w:rPr>
              <w:t xml:space="preserve">кредитите наменети за корпоративниот сектор </w:t>
            </w:r>
            <w:r w:rsidR="00CB7931">
              <w:rPr>
                <w:rFonts w:ascii="Tahoma" w:hAnsi="Tahoma"/>
                <w:szCs w:val="22"/>
              </w:rPr>
              <w:t>отпаѓаат</w:t>
            </w:r>
            <w:r w:rsidR="00B50BE9" w:rsidRPr="009712F1">
              <w:rPr>
                <w:rFonts w:ascii="Tahoma" w:hAnsi="Tahoma"/>
                <w:szCs w:val="22"/>
              </w:rPr>
              <w:t xml:space="preserve"> 54% од вкупниот месечен прираст.</w:t>
            </w:r>
          </w:p>
          <w:p w:rsidR="008D70B2" w:rsidRDefault="008D70B2" w:rsidP="009712F1">
            <w:pPr>
              <w:jc w:val="both"/>
              <w:rPr>
                <w:rFonts w:ascii="Tahoma" w:hAnsi="Tahoma"/>
                <w:szCs w:val="22"/>
              </w:rPr>
            </w:pPr>
          </w:p>
          <w:p w:rsidR="008D70B2" w:rsidRDefault="008D70B2" w:rsidP="009712F1">
            <w:pPr>
              <w:jc w:val="both"/>
              <w:rPr>
                <w:rFonts w:ascii="Tahoma" w:hAnsi="Tahoma"/>
                <w:szCs w:val="22"/>
              </w:rPr>
            </w:pPr>
          </w:p>
          <w:p w:rsidR="008D70B2" w:rsidRDefault="008D70B2" w:rsidP="009712F1">
            <w:pPr>
              <w:jc w:val="both"/>
              <w:rPr>
                <w:rFonts w:ascii="Tahoma" w:hAnsi="Tahoma"/>
                <w:szCs w:val="22"/>
              </w:rPr>
            </w:pPr>
          </w:p>
          <w:p w:rsidR="008D70B2" w:rsidRDefault="008D70B2" w:rsidP="009712F1">
            <w:pPr>
              <w:jc w:val="both"/>
              <w:rPr>
                <w:rFonts w:ascii="Tahoma" w:hAnsi="Tahoma"/>
                <w:szCs w:val="22"/>
              </w:rPr>
            </w:pPr>
          </w:p>
          <w:p w:rsidR="008D70B2" w:rsidRDefault="008D70B2" w:rsidP="009712F1">
            <w:pPr>
              <w:jc w:val="both"/>
              <w:rPr>
                <w:rFonts w:ascii="Tahoma" w:hAnsi="Tahoma"/>
                <w:szCs w:val="22"/>
              </w:rPr>
            </w:pPr>
          </w:p>
          <w:p w:rsidR="008D70B2" w:rsidRDefault="008D70B2" w:rsidP="009712F1">
            <w:pPr>
              <w:jc w:val="both"/>
              <w:rPr>
                <w:rFonts w:ascii="Tahoma" w:hAnsi="Tahoma"/>
                <w:szCs w:val="22"/>
              </w:rPr>
            </w:pPr>
          </w:p>
          <w:p w:rsidR="008D70B2" w:rsidRPr="009712F1" w:rsidRDefault="008D70B2" w:rsidP="009712F1">
            <w:pPr>
              <w:jc w:val="both"/>
              <w:rPr>
                <w:rFonts w:ascii="Tahoma" w:hAnsi="Tahoma"/>
                <w:szCs w:val="22"/>
              </w:rPr>
            </w:pPr>
          </w:p>
          <w:p w:rsidR="00B50BE9" w:rsidRDefault="008D70B2" w:rsidP="00B50660">
            <w:pPr>
              <w:jc w:val="both"/>
              <w:rPr>
                <w:rFonts w:ascii="Tahoma" w:hAnsi="Tahoma"/>
                <w:b/>
                <w:szCs w:val="22"/>
              </w:rPr>
            </w:pPr>
            <w:r w:rsidRPr="00C36520">
              <w:rPr>
                <w:rFonts w:ascii="Tahoma" w:hAnsi="Tahoma"/>
                <w:b/>
                <w:szCs w:val="22"/>
              </w:rPr>
              <w:t xml:space="preserve">Годишната стапка на раст на вкупните кредити на крајот на </w:t>
            </w:r>
            <w:r>
              <w:rPr>
                <w:rFonts w:ascii="Tahoma" w:hAnsi="Tahoma"/>
                <w:b/>
                <w:szCs w:val="22"/>
              </w:rPr>
              <w:t>јуни</w:t>
            </w:r>
            <w:r w:rsidRPr="00C36520">
              <w:rPr>
                <w:rFonts w:ascii="Tahoma" w:hAnsi="Tahoma"/>
                <w:b/>
                <w:szCs w:val="22"/>
              </w:rPr>
              <w:t xml:space="preserve"> изнесува 8,5% и е над проектираниот годишен раст од 7,3% за</w:t>
            </w:r>
            <w:r>
              <w:rPr>
                <w:rFonts w:ascii="Tahoma" w:hAnsi="Tahoma"/>
                <w:b/>
                <w:szCs w:val="22"/>
              </w:rPr>
              <w:t xml:space="preserve"> вториот квартал на 2014 година. </w:t>
            </w:r>
            <w:r w:rsidRPr="00C36520">
              <w:rPr>
                <w:rFonts w:ascii="Tahoma" w:hAnsi="Tahoma"/>
                <w:szCs w:val="22"/>
              </w:rPr>
              <w:t>На</w:t>
            </w:r>
            <w:r w:rsidRPr="00C36520">
              <w:rPr>
                <w:rFonts w:ascii="Tahoma" w:hAnsi="Tahoma"/>
                <w:b/>
                <w:szCs w:val="22"/>
              </w:rPr>
              <w:t xml:space="preserve"> </w:t>
            </w:r>
            <w:r w:rsidRPr="00C36520">
              <w:rPr>
                <w:rFonts w:ascii="Tahoma" w:hAnsi="Tahoma"/>
                <w:szCs w:val="22"/>
              </w:rPr>
              <w:t>квартална основа, остварениот пораст од 6.742 милион</w:t>
            </w:r>
            <w:r w:rsidR="00CB7931">
              <w:rPr>
                <w:rFonts w:ascii="Tahoma" w:hAnsi="Tahoma"/>
                <w:szCs w:val="22"/>
              </w:rPr>
              <w:t>а</w:t>
            </w:r>
            <w:r w:rsidRPr="00C36520">
              <w:rPr>
                <w:rFonts w:ascii="Tahoma" w:hAnsi="Tahoma"/>
                <w:szCs w:val="22"/>
              </w:rPr>
              <w:t xml:space="preserve"> денари е повисок од </w:t>
            </w:r>
            <w:r w:rsidR="00B50660">
              <w:rPr>
                <w:rFonts w:ascii="Tahoma" w:hAnsi="Tahoma"/>
                <w:szCs w:val="22"/>
              </w:rPr>
              <w:t xml:space="preserve">априлската </w:t>
            </w:r>
            <w:r w:rsidRPr="00C36520">
              <w:rPr>
                <w:rFonts w:ascii="Tahoma" w:hAnsi="Tahoma"/>
                <w:szCs w:val="22"/>
              </w:rPr>
              <w:t>проекцијата за вт</w:t>
            </w:r>
            <w:r>
              <w:rPr>
                <w:rFonts w:ascii="Tahoma" w:hAnsi="Tahoma"/>
                <w:szCs w:val="22"/>
              </w:rPr>
              <w:t>орото тримесечје на 2014 година</w:t>
            </w:r>
            <w:r w:rsidR="00CB7931">
              <w:rPr>
                <w:rFonts w:ascii="Tahoma" w:hAnsi="Tahoma"/>
                <w:szCs w:val="22"/>
              </w:rPr>
              <w:t xml:space="preserve"> </w:t>
            </w:r>
            <w:r w:rsidR="00CB7931" w:rsidRPr="00C36520">
              <w:rPr>
                <w:rFonts w:ascii="Tahoma" w:hAnsi="Tahoma"/>
                <w:szCs w:val="22"/>
              </w:rPr>
              <w:t>за 1,7 пати</w:t>
            </w:r>
            <w:r w:rsidR="00B50660">
              <w:rPr>
                <w:rFonts w:ascii="Tahoma" w:hAnsi="Tahoma"/>
                <w:szCs w:val="22"/>
              </w:rPr>
              <w:t>.</w:t>
            </w:r>
          </w:p>
        </w:tc>
      </w:tr>
      <w:tr w:rsidR="00132D29" w:rsidRPr="007C6D1F" w:rsidTr="000520C2">
        <w:trPr>
          <w:trHeight w:val="97"/>
        </w:trPr>
        <w:tc>
          <w:tcPr>
            <w:tcW w:w="6487" w:type="dxa"/>
          </w:tcPr>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C948DC" w:rsidRDefault="00C948DC"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8D70B2" w:rsidRDefault="008D70B2" w:rsidP="0063575D">
            <w:pPr>
              <w:keepNext/>
              <w:jc w:val="both"/>
              <w:rPr>
                <w:rFonts w:ascii="Tahoma" w:hAnsi="Tahoma"/>
                <w:b/>
                <w:noProof/>
                <w:sz w:val="20"/>
                <w:szCs w:val="20"/>
              </w:rPr>
            </w:pPr>
          </w:p>
          <w:p w:rsidR="0063575D" w:rsidRPr="0063575D" w:rsidRDefault="0063575D" w:rsidP="0063575D">
            <w:pPr>
              <w:keepNext/>
              <w:jc w:val="both"/>
              <w:rPr>
                <w:rFonts w:ascii="Tahoma" w:hAnsi="Tahoma"/>
                <w:b/>
                <w:noProof/>
                <w:sz w:val="20"/>
                <w:szCs w:val="20"/>
              </w:rPr>
            </w:pPr>
            <w:r w:rsidRPr="0063575D">
              <w:rPr>
                <w:rFonts w:ascii="Tahoma" w:hAnsi="Tahoma"/>
                <w:b/>
                <w:noProof/>
                <w:sz w:val="20"/>
                <w:szCs w:val="20"/>
              </w:rPr>
              <w:lastRenderedPageBreak/>
              <w:t>Придонес на денарските и девизните кредити во вкупните кредити, во %</w:t>
            </w:r>
          </w:p>
          <w:p w:rsidR="009712F1" w:rsidRDefault="00CA5596" w:rsidP="001012C6">
            <w:pPr>
              <w:jc w:val="both"/>
              <w:rPr>
                <w:rFonts w:ascii="Tahoma" w:hAnsi="Tahoma"/>
                <w:noProof/>
                <w:sz w:val="20"/>
                <w:szCs w:val="20"/>
              </w:rPr>
            </w:pPr>
            <w:r>
              <w:rPr>
                <w:rFonts w:ascii="Tahoma" w:hAnsi="Tahoma"/>
                <w:noProof/>
                <w:sz w:val="20"/>
                <w:szCs w:val="20"/>
                <w:lang w:val="en-US"/>
              </w:rPr>
              <w:drawing>
                <wp:inline distT="0" distB="0" distL="0" distR="0">
                  <wp:extent cx="3819525" cy="31146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525" cy="3114675"/>
                          </a:xfrm>
                          <a:prstGeom prst="rect">
                            <a:avLst/>
                          </a:prstGeom>
                          <a:noFill/>
                          <a:ln>
                            <a:noFill/>
                          </a:ln>
                        </pic:spPr>
                      </pic:pic>
                    </a:graphicData>
                  </a:graphic>
                </wp:inline>
              </w:drawing>
            </w: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Default="00CE189E" w:rsidP="001012C6">
            <w:pPr>
              <w:jc w:val="both"/>
              <w:rPr>
                <w:rFonts w:ascii="Tahoma" w:hAnsi="Tahoma"/>
                <w:noProof/>
                <w:sz w:val="20"/>
                <w:szCs w:val="20"/>
              </w:rPr>
            </w:pPr>
          </w:p>
          <w:p w:rsidR="00CE189E" w:rsidRPr="003979C0" w:rsidRDefault="00CE189E" w:rsidP="001012C6">
            <w:pPr>
              <w:jc w:val="both"/>
              <w:rPr>
                <w:rFonts w:ascii="Tahoma" w:hAnsi="Tahoma"/>
                <w:noProof/>
                <w:sz w:val="20"/>
                <w:szCs w:val="20"/>
              </w:rPr>
            </w:pPr>
          </w:p>
        </w:tc>
        <w:tc>
          <w:tcPr>
            <w:tcW w:w="4244" w:type="dxa"/>
            <w:vAlign w:val="center"/>
          </w:tcPr>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8D70B2" w:rsidRDefault="008D70B2" w:rsidP="003974AB">
            <w:pPr>
              <w:jc w:val="both"/>
              <w:rPr>
                <w:rFonts w:ascii="Tahoma" w:hAnsi="Tahoma"/>
                <w:szCs w:val="22"/>
              </w:rPr>
            </w:pPr>
          </w:p>
          <w:p w:rsidR="00C948DC" w:rsidRDefault="00C948DC" w:rsidP="003974AB">
            <w:pPr>
              <w:jc w:val="both"/>
              <w:rPr>
                <w:rFonts w:ascii="Tahoma" w:hAnsi="Tahoma"/>
                <w:szCs w:val="22"/>
              </w:rPr>
            </w:pPr>
          </w:p>
          <w:p w:rsidR="00C948DC" w:rsidRDefault="00C948DC" w:rsidP="003974AB">
            <w:pPr>
              <w:jc w:val="both"/>
              <w:rPr>
                <w:rFonts w:ascii="Tahoma" w:hAnsi="Tahoma"/>
                <w:szCs w:val="22"/>
              </w:rPr>
            </w:pPr>
          </w:p>
          <w:p w:rsidR="00C948DC" w:rsidRDefault="00C948DC" w:rsidP="003974AB">
            <w:pPr>
              <w:jc w:val="both"/>
              <w:rPr>
                <w:rFonts w:ascii="Tahoma" w:hAnsi="Tahoma"/>
                <w:szCs w:val="22"/>
              </w:rPr>
            </w:pPr>
          </w:p>
          <w:p w:rsidR="00C948DC" w:rsidRDefault="00C948DC" w:rsidP="003974AB">
            <w:pPr>
              <w:jc w:val="both"/>
              <w:rPr>
                <w:rFonts w:ascii="Tahoma" w:hAnsi="Tahoma"/>
                <w:szCs w:val="22"/>
              </w:rPr>
            </w:pPr>
          </w:p>
          <w:p w:rsidR="00C948DC" w:rsidRDefault="00C948DC" w:rsidP="003974AB">
            <w:pPr>
              <w:jc w:val="both"/>
              <w:rPr>
                <w:rFonts w:ascii="Tahoma" w:hAnsi="Tahoma"/>
                <w:szCs w:val="22"/>
              </w:rPr>
            </w:pPr>
          </w:p>
          <w:p w:rsidR="00132D29" w:rsidRDefault="0063575D" w:rsidP="00CB7931">
            <w:pPr>
              <w:jc w:val="both"/>
              <w:rPr>
                <w:rFonts w:ascii="Tahoma" w:hAnsi="Tahoma"/>
                <w:b/>
                <w:szCs w:val="22"/>
              </w:rPr>
            </w:pPr>
            <w:r w:rsidRPr="000C49F4">
              <w:rPr>
                <w:rFonts w:ascii="Tahoma" w:hAnsi="Tahoma"/>
                <w:szCs w:val="22"/>
              </w:rPr>
              <w:t>Остварениот годиш</w:t>
            </w:r>
            <w:r>
              <w:rPr>
                <w:rFonts w:ascii="Tahoma" w:hAnsi="Tahoma"/>
                <w:szCs w:val="22"/>
              </w:rPr>
              <w:t>ен</w:t>
            </w:r>
            <w:r w:rsidRPr="000C49F4">
              <w:rPr>
                <w:rFonts w:ascii="Tahoma" w:hAnsi="Tahoma"/>
                <w:szCs w:val="22"/>
              </w:rPr>
              <w:t xml:space="preserve"> раст на вкупните кредити и натаму во целост </w:t>
            </w:r>
            <w:r>
              <w:rPr>
                <w:rFonts w:ascii="Tahoma" w:hAnsi="Tahoma"/>
                <w:szCs w:val="22"/>
              </w:rPr>
              <w:t xml:space="preserve">произлегува од </w:t>
            </w:r>
            <w:r w:rsidRPr="000C49F4">
              <w:rPr>
                <w:rFonts w:ascii="Tahoma" w:hAnsi="Tahoma"/>
                <w:szCs w:val="22"/>
              </w:rPr>
              <w:t xml:space="preserve">зголемувањето на денарските кредити, при </w:t>
            </w:r>
            <w:r w:rsidR="00CB7931">
              <w:rPr>
                <w:rFonts w:ascii="Tahoma" w:hAnsi="Tahoma"/>
                <w:szCs w:val="22"/>
              </w:rPr>
              <w:t>натамошен</w:t>
            </w:r>
            <w:r w:rsidRPr="000C49F4">
              <w:rPr>
                <w:rFonts w:ascii="Tahoma" w:hAnsi="Tahoma"/>
                <w:szCs w:val="22"/>
              </w:rPr>
              <w:t xml:space="preserve"> пад на девизните кредити. </w:t>
            </w:r>
          </w:p>
        </w:tc>
      </w:tr>
      <w:tr w:rsidR="00132D29" w:rsidRPr="007C6D1F" w:rsidTr="000520C2">
        <w:trPr>
          <w:trHeight w:val="97"/>
        </w:trPr>
        <w:tc>
          <w:tcPr>
            <w:tcW w:w="6487" w:type="dxa"/>
          </w:tcPr>
          <w:p w:rsidR="0063575D" w:rsidRPr="0063575D" w:rsidRDefault="0063575D" w:rsidP="0063575D">
            <w:pPr>
              <w:keepNext/>
              <w:rPr>
                <w:rFonts w:ascii="Tahoma" w:hAnsi="Tahoma"/>
                <w:b/>
                <w:noProof/>
                <w:sz w:val="20"/>
                <w:szCs w:val="20"/>
              </w:rPr>
            </w:pPr>
            <w:r w:rsidRPr="0063575D">
              <w:rPr>
                <w:rFonts w:ascii="Tahoma" w:hAnsi="Tahoma"/>
                <w:b/>
                <w:noProof/>
                <w:sz w:val="20"/>
                <w:szCs w:val="20"/>
              </w:rPr>
              <w:lastRenderedPageBreak/>
              <w:t>Учество на сомнителни и спорни побарувања во вкупните кредити, во %</w:t>
            </w:r>
          </w:p>
          <w:p w:rsidR="00132D29" w:rsidRDefault="00132D29" w:rsidP="001012C6">
            <w:pPr>
              <w:jc w:val="both"/>
              <w:rPr>
                <w:rFonts w:ascii="Tahoma" w:hAnsi="Tahoma"/>
                <w:noProof/>
                <w:sz w:val="20"/>
                <w:szCs w:val="20"/>
              </w:rPr>
            </w:pPr>
          </w:p>
          <w:p w:rsidR="0063575D" w:rsidRDefault="0063575D" w:rsidP="001012C6">
            <w:pPr>
              <w:jc w:val="both"/>
              <w:rPr>
                <w:rFonts w:ascii="Tahoma" w:hAnsi="Tahoma"/>
                <w:noProof/>
                <w:sz w:val="20"/>
                <w:szCs w:val="20"/>
              </w:rPr>
            </w:pPr>
            <w:r>
              <w:rPr>
                <w:rFonts w:ascii="Tahoma" w:hAnsi="Tahoma"/>
                <w:b/>
                <w:noProof/>
                <w:szCs w:val="22"/>
                <w:lang w:val="en-US"/>
              </w:rPr>
              <w:drawing>
                <wp:inline distT="0" distB="0" distL="0" distR="0">
                  <wp:extent cx="3888105" cy="30372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8105" cy="3037205"/>
                          </a:xfrm>
                          <a:prstGeom prst="rect">
                            <a:avLst/>
                          </a:prstGeom>
                          <a:noFill/>
                          <a:ln>
                            <a:noFill/>
                          </a:ln>
                        </pic:spPr>
                      </pic:pic>
                    </a:graphicData>
                  </a:graphic>
                </wp:inline>
              </w:drawing>
            </w:r>
          </w:p>
          <w:p w:rsidR="0063575D" w:rsidRPr="003979C0" w:rsidRDefault="0063575D" w:rsidP="001012C6">
            <w:pPr>
              <w:jc w:val="both"/>
              <w:rPr>
                <w:rFonts w:ascii="Tahoma" w:hAnsi="Tahoma"/>
                <w:noProof/>
                <w:sz w:val="20"/>
                <w:szCs w:val="20"/>
              </w:rPr>
            </w:pPr>
          </w:p>
        </w:tc>
        <w:tc>
          <w:tcPr>
            <w:tcW w:w="4244" w:type="dxa"/>
            <w:vAlign w:val="center"/>
          </w:tcPr>
          <w:p w:rsidR="0063575D" w:rsidRPr="0063575D" w:rsidRDefault="0063575D" w:rsidP="0063575D">
            <w:pPr>
              <w:jc w:val="both"/>
              <w:rPr>
                <w:rFonts w:ascii="Tahoma" w:hAnsi="Tahoma"/>
                <w:szCs w:val="22"/>
              </w:rPr>
            </w:pPr>
            <w:r w:rsidRPr="0063575D">
              <w:rPr>
                <w:rFonts w:ascii="Tahoma" w:hAnsi="Tahoma"/>
                <w:szCs w:val="22"/>
              </w:rPr>
              <w:t>Во јуни се забележува минимално намалување на учеството на сомнителните и спорни побарувања во вкупните кредити</w:t>
            </w:r>
            <w:r w:rsidR="006962C2">
              <w:rPr>
                <w:rStyle w:val="FootnoteReference"/>
                <w:rFonts w:ascii="Tahoma" w:hAnsi="Tahoma"/>
                <w:szCs w:val="22"/>
              </w:rPr>
              <w:footnoteReference w:id="14"/>
            </w:r>
            <w:r w:rsidRPr="0063575D">
              <w:rPr>
                <w:rFonts w:ascii="Tahoma" w:hAnsi="Tahoma"/>
                <w:szCs w:val="22"/>
              </w:rPr>
              <w:t xml:space="preserve"> наспроти зголемувањето регистрирано во претходните два месец</w:t>
            </w:r>
            <w:r w:rsidR="00CB7931">
              <w:rPr>
                <w:rFonts w:ascii="Tahoma" w:hAnsi="Tahoma"/>
                <w:szCs w:val="22"/>
              </w:rPr>
              <w:t>а</w:t>
            </w:r>
            <w:r w:rsidRPr="0063575D">
              <w:rPr>
                <w:rFonts w:ascii="Tahoma" w:hAnsi="Tahoma"/>
                <w:szCs w:val="22"/>
              </w:rPr>
              <w:t xml:space="preserve">. </w:t>
            </w:r>
            <w:r w:rsidR="00F81725">
              <w:rPr>
                <w:rFonts w:ascii="Tahoma" w:hAnsi="Tahoma"/>
                <w:szCs w:val="22"/>
              </w:rPr>
              <w:t>Носител на п</w:t>
            </w:r>
            <w:r w:rsidRPr="0063575D">
              <w:rPr>
                <w:rFonts w:ascii="Tahoma" w:hAnsi="Tahoma"/>
                <w:szCs w:val="22"/>
              </w:rPr>
              <w:t xml:space="preserve">ромените кај овој </w:t>
            </w:r>
            <w:r w:rsidR="00CB7931">
              <w:rPr>
                <w:rFonts w:ascii="Tahoma" w:hAnsi="Tahoma"/>
                <w:szCs w:val="22"/>
              </w:rPr>
              <w:t xml:space="preserve">показател </w:t>
            </w:r>
            <w:r w:rsidRPr="0063575D">
              <w:rPr>
                <w:rFonts w:ascii="Tahoma" w:hAnsi="Tahoma"/>
                <w:szCs w:val="22"/>
              </w:rPr>
              <w:t xml:space="preserve">и натаму </w:t>
            </w:r>
            <w:r w:rsidR="00F81725">
              <w:rPr>
                <w:rFonts w:ascii="Tahoma" w:hAnsi="Tahoma"/>
                <w:szCs w:val="22"/>
              </w:rPr>
              <w:t xml:space="preserve">главно е </w:t>
            </w:r>
            <w:r w:rsidRPr="0063575D">
              <w:rPr>
                <w:rFonts w:ascii="Tahoma" w:hAnsi="Tahoma"/>
                <w:szCs w:val="22"/>
              </w:rPr>
              <w:t>корпоративниот сектор. Притоа, сомнителните и спорни</w:t>
            </w:r>
            <w:r w:rsidR="00CB7931">
              <w:rPr>
                <w:rFonts w:ascii="Tahoma" w:hAnsi="Tahoma"/>
                <w:szCs w:val="22"/>
              </w:rPr>
              <w:t>те</w:t>
            </w:r>
            <w:r w:rsidRPr="0063575D">
              <w:rPr>
                <w:rFonts w:ascii="Tahoma" w:hAnsi="Tahoma"/>
                <w:szCs w:val="22"/>
              </w:rPr>
              <w:t xml:space="preserve"> побарувања кај претпријатијата во јуни забележаа мал месечен раст</w:t>
            </w:r>
            <w:r w:rsidR="009A3F89">
              <w:rPr>
                <w:rFonts w:ascii="Tahoma" w:hAnsi="Tahoma"/>
                <w:szCs w:val="22"/>
              </w:rPr>
              <w:t xml:space="preserve">, </w:t>
            </w:r>
            <w:r w:rsidRPr="0063575D">
              <w:rPr>
                <w:rFonts w:ascii="Tahoma" w:hAnsi="Tahoma"/>
                <w:szCs w:val="22"/>
              </w:rPr>
              <w:t>по релативно поинтензивното зголемување во претходните два месеца.</w:t>
            </w:r>
          </w:p>
          <w:p w:rsidR="00132D29" w:rsidRDefault="00132D29" w:rsidP="001012C6">
            <w:pPr>
              <w:jc w:val="both"/>
              <w:rPr>
                <w:rFonts w:ascii="Tahoma" w:hAnsi="Tahoma"/>
                <w:b/>
                <w:szCs w:val="22"/>
              </w:rPr>
            </w:pPr>
          </w:p>
        </w:tc>
      </w:tr>
      <w:tr w:rsidR="00132D29" w:rsidRPr="007C6D1F" w:rsidTr="000520C2">
        <w:trPr>
          <w:trHeight w:val="97"/>
        </w:trPr>
        <w:tc>
          <w:tcPr>
            <w:tcW w:w="6487" w:type="dxa"/>
          </w:tcPr>
          <w:p w:rsidR="0063575D" w:rsidRDefault="0063575D" w:rsidP="001012C6">
            <w:pPr>
              <w:jc w:val="both"/>
              <w:rPr>
                <w:rFonts w:ascii="Tahoma" w:hAnsi="Tahoma"/>
                <w:b/>
                <w:noProof/>
                <w:szCs w:val="22"/>
              </w:rPr>
            </w:pPr>
          </w:p>
          <w:p w:rsidR="0063575D" w:rsidRDefault="0063575D" w:rsidP="001012C6">
            <w:pPr>
              <w:jc w:val="both"/>
              <w:rPr>
                <w:rFonts w:ascii="Tahoma" w:hAnsi="Tahoma"/>
                <w:b/>
                <w:noProof/>
                <w:szCs w:val="22"/>
              </w:rPr>
            </w:pPr>
          </w:p>
          <w:p w:rsidR="0063575D" w:rsidRDefault="0063575D" w:rsidP="001012C6">
            <w:pPr>
              <w:jc w:val="both"/>
              <w:rPr>
                <w:rFonts w:ascii="Tahoma" w:hAnsi="Tahoma"/>
                <w:b/>
                <w:noProof/>
                <w:szCs w:val="22"/>
              </w:rPr>
            </w:pPr>
          </w:p>
          <w:p w:rsidR="00C948DC" w:rsidRDefault="00C948DC" w:rsidP="001012C6">
            <w:pPr>
              <w:jc w:val="both"/>
              <w:rPr>
                <w:rFonts w:ascii="Tahoma" w:hAnsi="Tahoma"/>
                <w:b/>
                <w:noProof/>
                <w:szCs w:val="22"/>
              </w:rPr>
            </w:pPr>
          </w:p>
          <w:p w:rsidR="0063575D" w:rsidRDefault="0063575D" w:rsidP="001012C6">
            <w:pPr>
              <w:jc w:val="both"/>
              <w:rPr>
                <w:rFonts w:ascii="Tahoma" w:hAnsi="Tahoma"/>
                <w:b/>
                <w:noProof/>
                <w:szCs w:val="22"/>
              </w:rPr>
            </w:pPr>
          </w:p>
          <w:p w:rsidR="00132D29" w:rsidRDefault="0063575D" w:rsidP="001012C6">
            <w:pPr>
              <w:jc w:val="both"/>
              <w:rPr>
                <w:rFonts w:ascii="Tahoma" w:hAnsi="Tahoma"/>
                <w:noProof/>
                <w:sz w:val="20"/>
                <w:szCs w:val="20"/>
              </w:rPr>
            </w:pPr>
            <w:r w:rsidRPr="003F5A49">
              <w:rPr>
                <w:rFonts w:ascii="Tahoma" w:hAnsi="Tahoma"/>
                <w:b/>
                <w:noProof/>
                <w:szCs w:val="22"/>
              </w:rPr>
              <w:lastRenderedPageBreak/>
              <w:t>Сооднос помеѓу вкупните кредити и депозити, во %</w:t>
            </w:r>
          </w:p>
          <w:p w:rsidR="0063575D" w:rsidRDefault="0063575D" w:rsidP="001012C6">
            <w:pPr>
              <w:jc w:val="both"/>
              <w:rPr>
                <w:rFonts w:ascii="Tahoma" w:hAnsi="Tahoma"/>
                <w:noProof/>
                <w:sz w:val="20"/>
                <w:szCs w:val="20"/>
              </w:rPr>
            </w:pPr>
          </w:p>
          <w:p w:rsidR="0063575D" w:rsidRPr="003979C0" w:rsidRDefault="00CA5596" w:rsidP="00CA5596">
            <w:pPr>
              <w:tabs>
                <w:tab w:val="left" w:pos="1047"/>
              </w:tabs>
              <w:jc w:val="both"/>
              <w:rPr>
                <w:rFonts w:ascii="Tahoma" w:hAnsi="Tahoma"/>
                <w:noProof/>
                <w:sz w:val="20"/>
                <w:szCs w:val="20"/>
              </w:rPr>
            </w:pPr>
            <w:r>
              <w:rPr>
                <w:rFonts w:ascii="Tahoma" w:hAnsi="Tahoma"/>
                <w:noProof/>
                <w:sz w:val="20"/>
                <w:szCs w:val="20"/>
                <w:lang w:val="en-US"/>
              </w:rPr>
              <w:drawing>
                <wp:inline distT="0" distB="0" distL="0" distR="0">
                  <wp:extent cx="3981450" cy="2971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971800"/>
                          </a:xfrm>
                          <a:prstGeom prst="rect">
                            <a:avLst/>
                          </a:prstGeom>
                          <a:noFill/>
                          <a:ln>
                            <a:noFill/>
                          </a:ln>
                        </pic:spPr>
                      </pic:pic>
                    </a:graphicData>
                  </a:graphic>
                </wp:inline>
              </w:drawing>
            </w:r>
          </w:p>
        </w:tc>
        <w:tc>
          <w:tcPr>
            <w:tcW w:w="4244" w:type="dxa"/>
            <w:vAlign w:val="center"/>
          </w:tcPr>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Default="0063575D" w:rsidP="0063575D">
            <w:pPr>
              <w:jc w:val="both"/>
              <w:rPr>
                <w:rFonts w:ascii="Tahoma" w:hAnsi="Tahoma"/>
                <w:szCs w:val="22"/>
              </w:rPr>
            </w:pPr>
          </w:p>
          <w:p w:rsidR="0063575D" w:rsidRPr="0063575D" w:rsidRDefault="0063575D" w:rsidP="0063575D">
            <w:pPr>
              <w:jc w:val="both"/>
              <w:rPr>
                <w:rFonts w:ascii="Tahoma" w:hAnsi="Tahoma"/>
                <w:szCs w:val="22"/>
              </w:rPr>
            </w:pPr>
            <w:r w:rsidRPr="0063575D">
              <w:rPr>
                <w:rFonts w:ascii="Tahoma" w:hAnsi="Tahoma"/>
                <w:szCs w:val="22"/>
              </w:rPr>
              <w:t>Искористеноста на депозитниот потенцијал за кредитирање на приватниот сектор во вториот квартал е повисока во однос на остварувањето  во претходн</w:t>
            </w:r>
            <w:r w:rsidR="00F81725">
              <w:rPr>
                <w:rFonts w:ascii="Tahoma" w:hAnsi="Tahoma"/>
                <w:szCs w:val="22"/>
              </w:rPr>
              <w:t>ото тримесечје</w:t>
            </w:r>
            <w:r w:rsidR="009A3F89">
              <w:rPr>
                <w:rFonts w:ascii="Tahoma" w:hAnsi="Tahoma"/>
                <w:szCs w:val="22"/>
              </w:rPr>
              <w:t xml:space="preserve">, но и во однос на  </w:t>
            </w:r>
            <w:r w:rsidRPr="0063575D">
              <w:rPr>
                <w:rFonts w:ascii="Tahoma" w:hAnsi="Tahoma"/>
                <w:szCs w:val="22"/>
              </w:rPr>
              <w:t>проекцијата...</w:t>
            </w:r>
          </w:p>
          <w:p w:rsidR="0063575D" w:rsidRPr="0063575D" w:rsidRDefault="0063575D" w:rsidP="0063575D">
            <w:pPr>
              <w:jc w:val="both"/>
              <w:rPr>
                <w:rFonts w:ascii="Tahoma" w:hAnsi="Tahoma"/>
                <w:szCs w:val="22"/>
              </w:rPr>
            </w:pPr>
          </w:p>
          <w:p w:rsidR="0063575D" w:rsidRPr="0063575D" w:rsidRDefault="0063575D" w:rsidP="0063575D">
            <w:pPr>
              <w:jc w:val="both"/>
              <w:rPr>
                <w:rFonts w:ascii="Tahoma" w:hAnsi="Tahoma"/>
                <w:szCs w:val="22"/>
              </w:rPr>
            </w:pPr>
            <w:r w:rsidRPr="0063575D">
              <w:rPr>
                <w:rFonts w:ascii="Tahoma" w:hAnsi="Tahoma"/>
                <w:szCs w:val="22"/>
              </w:rPr>
              <w:t>...главно како резултат на по</w:t>
            </w:r>
            <w:r w:rsidR="00F81725">
              <w:rPr>
                <w:rFonts w:ascii="Tahoma" w:hAnsi="Tahoma"/>
                <w:szCs w:val="22"/>
              </w:rPr>
              <w:t>големото</w:t>
            </w:r>
            <w:r w:rsidRPr="0063575D">
              <w:rPr>
                <w:rFonts w:ascii="Tahoma" w:hAnsi="Tahoma"/>
                <w:szCs w:val="22"/>
              </w:rPr>
              <w:t xml:space="preserve"> квартално зголемување на вкупните кредити при умерен раст на депозитната база.</w:t>
            </w:r>
          </w:p>
          <w:p w:rsidR="00132D29" w:rsidRDefault="00132D29" w:rsidP="001012C6">
            <w:pPr>
              <w:jc w:val="both"/>
              <w:rPr>
                <w:rFonts w:ascii="Tahoma" w:hAnsi="Tahoma"/>
                <w:b/>
                <w:szCs w:val="22"/>
              </w:rPr>
            </w:pPr>
          </w:p>
        </w:tc>
      </w:tr>
      <w:tr w:rsidR="00F24CC7" w:rsidTr="000520C2">
        <w:trPr>
          <w:trHeight w:val="97"/>
        </w:trPr>
        <w:tc>
          <w:tcPr>
            <w:tcW w:w="6487" w:type="dxa"/>
          </w:tcPr>
          <w:p w:rsidR="00F24CC7" w:rsidRDefault="00F24CC7" w:rsidP="00940EB5">
            <w:pPr>
              <w:jc w:val="both"/>
              <w:rPr>
                <w:rFonts w:ascii="Tahoma" w:hAnsi="Tahoma"/>
                <w:b/>
                <w:noProof/>
                <w:szCs w:val="22"/>
              </w:rPr>
            </w:pPr>
          </w:p>
          <w:p w:rsidR="00F24CC7" w:rsidRDefault="00F24CC7" w:rsidP="00940EB5">
            <w:pPr>
              <w:jc w:val="both"/>
              <w:rPr>
                <w:rFonts w:ascii="Tahoma" w:hAnsi="Tahoma"/>
                <w:b/>
                <w:noProof/>
                <w:szCs w:val="22"/>
              </w:rPr>
            </w:pPr>
          </w:p>
          <w:p w:rsidR="00F24CC7" w:rsidRDefault="00F24CC7" w:rsidP="00940EB5">
            <w:pPr>
              <w:jc w:val="both"/>
              <w:rPr>
                <w:rFonts w:ascii="Tahoma" w:hAnsi="Tahoma"/>
                <w:noProof/>
                <w:sz w:val="20"/>
                <w:szCs w:val="20"/>
              </w:rPr>
            </w:pPr>
            <w:r>
              <w:rPr>
                <w:rFonts w:ascii="Tahoma" w:hAnsi="Tahoma"/>
                <w:b/>
                <w:noProof/>
                <w:szCs w:val="22"/>
              </w:rPr>
              <w:t>Вкупни кредити и депозити, годишни промени,во %</w:t>
            </w:r>
          </w:p>
          <w:p w:rsidR="00F24CC7" w:rsidRDefault="00F24CC7" w:rsidP="00940EB5">
            <w:pPr>
              <w:jc w:val="both"/>
              <w:rPr>
                <w:rFonts w:ascii="Tahoma" w:hAnsi="Tahoma"/>
                <w:noProof/>
                <w:sz w:val="20"/>
                <w:szCs w:val="20"/>
              </w:rPr>
            </w:pPr>
          </w:p>
          <w:p w:rsidR="00F24CC7" w:rsidRPr="003979C0" w:rsidRDefault="00D61982" w:rsidP="00940EB5">
            <w:pPr>
              <w:tabs>
                <w:tab w:val="left" w:pos="1047"/>
              </w:tabs>
              <w:jc w:val="both"/>
              <w:rPr>
                <w:rFonts w:ascii="Tahoma" w:hAnsi="Tahoma"/>
                <w:noProof/>
                <w:sz w:val="20"/>
                <w:szCs w:val="20"/>
              </w:rPr>
            </w:pPr>
            <w:r w:rsidRPr="00A57112">
              <w:rPr>
                <w:rFonts w:ascii="Tahoma" w:hAnsi="Tahoma"/>
                <w:noProof/>
                <w:sz w:val="20"/>
                <w:szCs w:val="20"/>
                <w:lang w:val="en-US"/>
              </w:rPr>
              <w:drawing>
                <wp:inline distT="0" distB="0" distL="0" distR="0">
                  <wp:extent cx="3924300" cy="2981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4300" cy="2981325"/>
                          </a:xfrm>
                          <a:prstGeom prst="rect">
                            <a:avLst/>
                          </a:prstGeom>
                          <a:noFill/>
                          <a:ln>
                            <a:noFill/>
                          </a:ln>
                        </pic:spPr>
                      </pic:pic>
                    </a:graphicData>
                  </a:graphic>
                </wp:inline>
              </w:drawing>
            </w:r>
          </w:p>
        </w:tc>
        <w:tc>
          <w:tcPr>
            <w:tcW w:w="4244" w:type="dxa"/>
            <w:vAlign w:val="center"/>
          </w:tcPr>
          <w:p w:rsidR="00F24CC7" w:rsidRDefault="00F24CC7" w:rsidP="00940EB5">
            <w:pPr>
              <w:jc w:val="both"/>
              <w:rPr>
                <w:rFonts w:ascii="Tahoma" w:hAnsi="Tahoma"/>
                <w:szCs w:val="22"/>
              </w:rPr>
            </w:pPr>
          </w:p>
          <w:p w:rsidR="00F24CC7" w:rsidRDefault="00F24CC7" w:rsidP="00940EB5">
            <w:pPr>
              <w:jc w:val="both"/>
              <w:rPr>
                <w:rFonts w:ascii="Tahoma" w:hAnsi="Tahoma"/>
                <w:szCs w:val="22"/>
              </w:rPr>
            </w:pPr>
          </w:p>
          <w:p w:rsidR="00F24CC7" w:rsidRDefault="00F24CC7" w:rsidP="00940EB5">
            <w:pPr>
              <w:jc w:val="both"/>
              <w:rPr>
                <w:rFonts w:ascii="Tahoma" w:hAnsi="Tahoma"/>
                <w:szCs w:val="22"/>
              </w:rPr>
            </w:pPr>
          </w:p>
          <w:p w:rsidR="00F24CC7" w:rsidRPr="0063575D" w:rsidRDefault="00F24CC7" w:rsidP="00940EB5">
            <w:pPr>
              <w:jc w:val="both"/>
              <w:rPr>
                <w:rFonts w:ascii="Tahoma" w:hAnsi="Tahoma"/>
                <w:szCs w:val="22"/>
              </w:rPr>
            </w:pPr>
            <w:r>
              <w:rPr>
                <w:rFonts w:ascii="Tahoma" w:hAnsi="Tahoma"/>
                <w:szCs w:val="22"/>
              </w:rPr>
              <w:t xml:space="preserve">Најновите </w:t>
            </w:r>
            <w:r w:rsidR="00F81725">
              <w:rPr>
                <w:rFonts w:ascii="Tahoma" w:hAnsi="Tahoma"/>
                <w:szCs w:val="22"/>
              </w:rPr>
              <w:t xml:space="preserve">првични </w:t>
            </w:r>
            <w:r>
              <w:rPr>
                <w:rFonts w:ascii="Tahoma" w:hAnsi="Tahoma"/>
                <w:szCs w:val="22"/>
              </w:rPr>
              <w:t>податоци со јули 2014 година покажуваат натамошен раст на кредитите (иако со забавено темпо во однос на претходните два месец</w:t>
            </w:r>
            <w:r w:rsidR="00D61982">
              <w:rPr>
                <w:rFonts w:ascii="Tahoma" w:hAnsi="Tahoma"/>
                <w:szCs w:val="22"/>
              </w:rPr>
              <w:t>а</w:t>
            </w:r>
            <w:r>
              <w:rPr>
                <w:rFonts w:ascii="Tahoma" w:hAnsi="Tahoma"/>
                <w:szCs w:val="22"/>
              </w:rPr>
              <w:t xml:space="preserve">), при раст на депозитите, </w:t>
            </w:r>
            <w:r w:rsidR="00F81725">
              <w:rPr>
                <w:rFonts w:ascii="Tahoma" w:hAnsi="Tahoma"/>
                <w:szCs w:val="22"/>
              </w:rPr>
              <w:t xml:space="preserve">заради </w:t>
            </w:r>
            <w:r>
              <w:rPr>
                <w:rFonts w:ascii="Tahoma" w:hAnsi="Tahoma"/>
                <w:szCs w:val="22"/>
              </w:rPr>
              <w:t>зголеменото штедење на домаќинствата. Во вакви услови, вкупните кредити во јули на годишна основа се повисоки за 8,4%, додека годишниот раст на депозитите изнесува 8,1%.</w:t>
            </w:r>
          </w:p>
          <w:p w:rsidR="00F24CC7" w:rsidRDefault="00F24CC7" w:rsidP="00940EB5">
            <w:pPr>
              <w:jc w:val="both"/>
              <w:rPr>
                <w:rFonts w:ascii="Tahoma" w:hAnsi="Tahoma"/>
                <w:b/>
                <w:szCs w:val="22"/>
              </w:rPr>
            </w:pPr>
          </w:p>
        </w:tc>
      </w:tr>
    </w:tbl>
    <w:p w:rsidR="00007100" w:rsidRDefault="00007100" w:rsidP="00A57112">
      <w:pPr>
        <w:rPr>
          <w:rFonts w:ascii="Tahoma" w:hAnsi="Tahoma"/>
          <w:b/>
          <w:szCs w:val="22"/>
        </w:rPr>
      </w:pPr>
    </w:p>
    <w:p w:rsidR="00F24CC7" w:rsidRDefault="00F24CC7" w:rsidP="00334214">
      <w:pPr>
        <w:jc w:val="center"/>
        <w:rPr>
          <w:rFonts w:ascii="Tahoma" w:hAnsi="Tahoma"/>
          <w:b/>
          <w:szCs w:val="22"/>
        </w:rPr>
      </w:pPr>
    </w:p>
    <w:p w:rsidR="00C03BC5" w:rsidRDefault="00C03BC5" w:rsidP="00FC4D86">
      <w:pPr>
        <w:rPr>
          <w:rFonts w:ascii="Tahoma" w:hAnsi="Tahoma"/>
          <w:b/>
          <w:szCs w:val="22"/>
        </w:rPr>
        <w:sectPr w:rsidR="00C03BC5" w:rsidSect="00132D29">
          <w:headerReference w:type="default" r:id="rId61"/>
          <w:pgSz w:w="11907" w:h="16839" w:code="9"/>
          <w:pgMar w:top="1265" w:right="1017" w:bottom="720" w:left="660" w:header="720" w:footer="720" w:gutter="0"/>
          <w:cols w:space="284" w:equalWidth="0">
            <w:col w:w="10230" w:space="284"/>
          </w:cols>
          <w:docGrid w:linePitch="360"/>
        </w:sectPr>
      </w:pPr>
    </w:p>
    <w:p w:rsidR="00FC4D86" w:rsidRPr="00334214" w:rsidRDefault="00FC4D86" w:rsidP="00FC4D86">
      <w:pPr>
        <w:rPr>
          <w:rFonts w:ascii="Tahoma" w:hAnsi="Tahoma"/>
          <w:b/>
          <w:szCs w:val="22"/>
        </w:rPr>
      </w:pPr>
      <w:r w:rsidRPr="00334214">
        <w:rPr>
          <w:rFonts w:ascii="Tahoma" w:hAnsi="Tahoma"/>
          <w:b/>
          <w:szCs w:val="22"/>
        </w:rPr>
        <w:lastRenderedPageBreak/>
        <w:t xml:space="preserve">Прилог </w:t>
      </w:r>
      <w:r w:rsidR="00F24CC7">
        <w:rPr>
          <w:rFonts w:ascii="Tahoma" w:hAnsi="Tahoma"/>
          <w:b/>
          <w:szCs w:val="22"/>
        </w:rPr>
        <w:t>1</w:t>
      </w:r>
      <w:r w:rsidRPr="00334214">
        <w:rPr>
          <w:rFonts w:ascii="Tahoma" w:hAnsi="Tahoma"/>
          <w:b/>
          <w:szCs w:val="22"/>
        </w:rPr>
        <w:t xml:space="preserve">: Хронологија на промените во поставеноста на монетарните инструменти на НБРМ и избрани одлуки од областа на </w:t>
      </w:r>
      <w:proofErr w:type="spellStart"/>
      <w:r w:rsidRPr="00334214">
        <w:rPr>
          <w:rFonts w:ascii="Tahoma" w:hAnsi="Tahoma"/>
          <w:b/>
          <w:szCs w:val="22"/>
        </w:rPr>
        <w:t>супервизијата</w:t>
      </w:r>
      <w:proofErr w:type="spellEnd"/>
      <w:r w:rsidRPr="00334214">
        <w:rPr>
          <w:rFonts w:ascii="Tahoma" w:hAnsi="Tahoma"/>
          <w:b/>
          <w:szCs w:val="22"/>
        </w:rPr>
        <w:t xml:space="preserve"> донесени во периодот 2013-2014 година</w:t>
      </w:r>
    </w:p>
    <w:p w:rsidR="00FC4D86" w:rsidRPr="000B298F" w:rsidRDefault="00FC4D86" w:rsidP="00FC4D86">
      <w:pPr>
        <w:jc w:val="center"/>
        <w:rPr>
          <w:rFonts w:ascii="Tahoma" w:hAnsi="Tahoma"/>
          <w:b/>
          <w:sz w:val="24"/>
        </w:rPr>
      </w:pPr>
    </w:p>
    <w:p w:rsidR="00FC4D86" w:rsidRDefault="00FC4D86" w:rsidP="00FC4D86">
      <w:pPr>
        <w:jc w:val="both"/>
        <w:rPr>
          <w:rFonts w:ascii="Tahoma" w:hAnsi="Tahoma"/>
          <w:b/>
        </w:rPr>
      </w:pPr>
      <w:r>
        <w:rPr>
          <w:rFonts w:ascii="Tahoma" w:hAnsi="Tahoma"/>
          <w:b/>
        </w:rPr>
        <w:t xml:space="preserve">Јануари 2013 </w:t>
      </w:r>
    </w:p>
    <w:p w:rsidR="00FC4D86" w:rsidRPr="00635273" w:rsidRDefault="00FC4D86" w:rsidP="00FC4D86">
      <w:pPr>
        <w:pStyle w:val="ListParagraph"/>
        <w:numPr>
          <w:ilvl w:val="0"/>
          <w:numId w:val="4"/>
        </w:numPr>
        <w:spacing w:after="200"/>
        <w:jc w:val="both"/>
        <w:rPr>
          <w:rFonts w:ascii="Tahoma" w:hAnsi="Tahoma"/>
        </w:rPr>
      </w:pPr>
      <w:r w:rsidRPr="0096462F">
        <w:rPr>
          <w:rFonts w:ascii="Tahoma" w:hAnsi="Tahoma"/>
        </w:rPr>
        <w:t xml:space="preserve">Стапија во сила </w:t>
      </w:r>
      <w:r>
        <w:rPr>
          <w:rFonts w:ascii="Tahoma" w:hAnsi="Tahoma"/>
          <w:u w:val="single"/>
        </w:rPr>
        <w:t>Измените</w:t>
      </w:r>
      <w:r w:rsidRPr="0096462F">
        <w:rPr>
          <w:rFonts w:ascii="Tahoma" w:hAnsi="Tahoma"/>
          <w:u w:val="single"/>
        </w:rPr>
        <w:t xml:space="preserve"> на Одлуката за задолжителна резерва</w:t>
      </w:r>
      <w:r>
        <w:rPr>
          <w:rFonts w:ascii="Tahoma" w:hAnsi="Tahoma"/>
          <w:u w:val="single"/>
        </w:rPr>
        <w:t xml:space="preserve"> (донесени во ноември 2012 година)</w:t>
      </w:r>
      <w:r w:rsidRPr="0096462F">
        <w:rPr>
          <w:rFonts w:ascii="Tahoma" w:hAnsi="Tahoma"/>
          <w:u w:val="single"/>
        </w:rPr>
        <w:t>,</w:t>
      </w:r>
      <w:r w:rsidRPr="0096462F">
        <w:rPr>
          <w:rFonts w:ascii="Tahoma" w:hAnsi="Tahoma"/>
        </w:rPr>
        <w:t xml:space="preserve"> со која се овозможува намалување на основата за задолжителна</w:t>
      </w:r>
      <w:r w:rsidR="00F81725">
        <w:rPr>
          <w:rFonts w:ascii="Tahoma" w:hAnsi="Tahoma"/>
        </w:rPr>
        <w:t>та</w:t>
      </w:r>
      <w:r w:rsidRPr="0096462F">
        <w:rPr>
          <w:rFonts w:ascii="Tahoma" w:hAnsi="Tahoma"/>
        </w:rPr>
        <w:t xml:space="preserve"> резерва на банките за износот на </w:t>
      </w:r>
      <w:proofErr w:type="spellStart"/>
      <w:r w:rsidRPr="0096462F">
        <w:rPr>
          <w:rFonts w:ascii="Tahoma" w:hAnsi="Tahoma"/>
        </w:rPr>
        <w:t>новоодобрените</w:t>
      </w:r>
      <w:proofErr w:type="spellEnd"/>
      <w:r w:rsidRPr="0096462F">
        <w:rPr>
          <w:rFonts w:ascii="Tahoma" w:hAnsi="Tahoma"/>
        </w:rPr>
        <w:t xml:space="preserve"> кредити на </w:t>
      </w:r>
      <w:proofErr w:type="spellStart"/>
      <w:r w:rsidRPr="0096462F">
        <w:rPr>
          <w:rFonts w:ascii="Tahoma" w:hAnsi="Tahoma"/>
        </w:rPr>
        <w:t>нето-извозниците</w:t>
      </w:r>
      <w:proofErr w:type="spellEnd"/>
      <w:r w:rsidRPr="0096462F">
        <w:rPr>
          <w:rFonts w:ascii="Tahoma" w:hAnsi="Tahoma"/>
        </w:rPr>
        <w:t xml:space="preserve"> и на домашните производители на електрична енергија, како и за вложувањата во должнички хартии од вредност во домашна валута без валутна клаузула, издадени од споменатите претпријатија</w:t>
      </w:r>
      <w:r>
        <w:rPr>
          <w:rFonts w:ascii="Tahoma" w:hAnsi="Tahoma"/>
        </w:rPr>
        <w:t>. Одлуката предвидува и целосно ослободување од издвојување задолжителна резерва за обврските на банките за издадени должнички хартии од вредност во домашна валута и оригинален рок на достасување од најмалку две години. Одлуката ќе се применува заклучно со 2014 година, кога зависно од постигнатите резултати</w:t>
      </w:r>
      <w:r w:rsidR="00F81725">
        <w:rPr>
          <w:rFonts w:ascii="Tahoma" w:hAnsi="Tahoma"/>
        </w:rPr>
        <w:t>,</w:t>
      </w:r>
      <w:r>
        <w:rPr>
          <w:rFonts w:ascii="Tahoma" w:hAnsi="Tahoma"/>
        </w:rPr>
        <w:t xml:space="preserve"> ќе се преиспита потребата од </w:t>
      </w:r>
      <w:r w:rsidR="00F81725">
        <w:rPr>
          <w:rFonts w:ascii="Tahoma" w:hAnsi="Tahoma"/>
        </w:rPr>
        <w:t xml:space="preserve">нејзината </w:t>
      </w:r>
      <w:r>
        <w:rPr>
          <w:rFonts w:ascii="Tahoma" w:hAnsi="Tahoma"/>
        </w:rPr>
        <w:t xml:space="preserve">натамошна примена. </w:t>
      </w:r>
    </w:p>
    <w:p w:rsidR="00FC4D86" w:rsidRPr="0096462F" w:rsidRDefault="00FC4D86" w:rsidP="00FC4D86">
      <w:pPr>
        <w:pStyle w:val="ListParagraph"/>
        <w:jc w:val="both"/>
        <w:rPr>
          <w:rFonts w:ascii="Tahoma" w:hAnsi="Tahoma"/>
        </w:rPr>
      </w:pPr>
    </w:p>
    <w:p w:rsidR="00FC4D86" w:rsidRPr="0021336C" w:rsidRDefault="00FC4D86" w:rsidP="00FC4D86">
      <w:pPr>
        <w:pStyle w:val="ListParagraph"/>
        <w:numPr>
          <w:ilvl w:val="0"/>
          <w:numId w:val="4"/>
        </w:numPr>
        <w:spacing w:after="200"/>
        <w:jc w:val="both"/>
        <w:rPr>
          <w:rFonts w:ascii="Tahoma" w:hAnsi="Tahoma"/>
        </w:rPr>
      </w:pPr>
      <w:r w:rsidRPr="0096462F">
        <w:rPr>
          <w:rFonts w:ascii="Tahoma" w:hAnsi="Tahoma"/>
        </w:rPr>
        <w:t xml:space="preserve">Донесена е </w:t>
      </w:r>
      <w:r w:rsidRPr="0096462F">
        <w:rPr>
          <w:rFonts w:ascii="Tahoma" w:hAnsi="Tahoma"/>
          <w:u w:val="single"/>
        </w:rPr>
        <w:t>Одлука</w:t>
      </w:r>
      <w:r w:rsidR="00F81725">
        <w:rPr>
          <w:rFonts w:ascii="Tahoma" w:hAnsi="Tahoma"/>
          <w:u w:val="single"/>
        </w:rPr>
        <w:t>та</w:t>
      </w:r>
      <w:r w:rsidRPr="0096462F">
        <w:rPr>
          <w:rFonts w:ascii="Tahoma" w:hAnsi="Tahoma"/>
          <w:u w:val="single"/>
        </w:rPr>
        <w:t xml:space="preserve"> за намалување на основната каматна стапка на благајничките записи</w:t>
      </w:r>
      <w:r w:rsidRPr="0096462F">
        <w:rPr>
          <w:rFonts w:ascii="Tahoma" w:hAnsi="Tahoma"/>
        </w:rPr>
        <w:t xml:space="preserve"> од 3,75% на 3,5%</w:t>
      </w:r>
      <w:r>
        <w:rPr>
          <w:rFonts w:ascii="Tahoma" w:hAnsi="Tahoma"/>
        </w:rPr>
        <w:t>.</w:t>
      </w:r>
      <w:r w:rsidRPr="00933C3C">
        <w:rPr>
          <w:rFonts w:ascii="Tahoma" w:hAnsi="Tahoma"/>
        </w:rPr>
        <w:t xml:space="preserve"> </w:t>
      </w:r>
      <w:r>
        <w:rPr>
          <w:rFonts w:ascii="Tahoma" w:hAnsi="Tahoma"/>
        </w:rPr>
        <w:t>Истовремено беше намалена и каматната стапка на располож</w:t>
      </w:r>
      <w:r w:rsidR="00F81725">
        <w:rPr>
          <w:rFonts w:ascii="Tahoma" w:hAnsi="Tahoma"/>
        </w:rPr>
        <w:t>л</w:t>
      </w:r>
      <w:r>
        <w:rPr>
          <w:rFonts w:ascii="Tahoma" w:hAnsi="Tahoma"/>
        </w:rPr>
        <w:t>ивите депозити на седум дена од 2% на 1,75%, како и на р</w:t>
      </w:r>
      <w:r w:rsidRPr="0021336C">
        <w:rPr>
          <w:rFonts w:ascii="Tahoma" w:hAnsi="Tahoma"/>
        </w:rPr>
        <w:t xml:space="preserve">асположливите депозити преку ноќ од 1,0% на 0,75%. </w:t>
      </w:r>
    </w:p>
    <w:p w:rsidR="00FC4D86" w:rsidRPr="000B298F" w:rsidRDefault="00FC4D86" w:rsidP="00FC4D86">
      <w:pPr>
        <w:pStyle w:val="ListParagraph"/>
        <w:jc w:val="both"/>
        <w:rPr>
          <w:rFonts w:ascii="Tahoma" w:hAnsi="Tahoma"/>
          <w:b/>
        </w:rPr>
      </w:pPr>
    </w:p>
    <w:p w:rsidR="00FC4D86" w:rsidRDefault="00FC4D86" w:rsidP="00FC4D86">
      <w:pPr>
        <w:jc w:val="both"/>
        <w:rPr>
          <w:rFonts w:ascii="Tahoma" w:hAnsi="Tahoma"/>
          <w:b/>
        </w:rPr>
      </w:pPr>
      <w:r>
        <w:rPr>
          <w:rFonts w:ascii="Tahoma" w:hAnsi="Tahoma"/>
          <w:b/>
        </w:rPr>
        <w:t>Март 2013</w:t>
      </w:r>
    </w:p>
    <w:p w:rsidR="00FC4D86" w:rsidRPr="00D64703" w:rsidRDefault="00FC4D86" w:rsidP="00FC4D86">
      <w:pPr>
        <w:pStyle w:val="ListParagraph"/>
        <w:numPr>
          <w:ilvl w:val="0"/>
          <w:numId w:val="2"/>
        </w:numPr>
        <w:spacing w:after="200"/>
        <w:jc w:val="both"/>
        <w:rPr>
          <w:rFonts w:ascii="Tahoma" w:hAnsi="Tahoma"/>
        </w:rPr>
      </w:pPr>
      <w:r w:rsidRPr="0096462F">
        <w:rPr>
          <w:rFonts w:ascii="Tahoma" w:hAnsi="Tahoma"/>
        </w:rPr>
        <w:t>Донесена е</w:t>
      </w:r>
      <w:r w:rsidRPr="00635273">
        <w:rPr>
          <w:rFonts w:ascii="Tahoma" w:hAnsi="Tahoma"/>
        </w:rPr>
        <w:t xml:space="preserve"> </w:t>
      </w:r>
      <w:r w:rsidRPr="0096462F">
        <w:rPr>
          <w:rFonts w:ascii="Tahoma" w:hAnsi="Tahoma"/>
          <w:u w:val="single"/>
        </w:rPr>
        <w:t>Одлука</w:t>
      </w:r>
      <w:r w:rsidR="00F81725">
        <w:rPr>
          <w:rFonts w:ascii="Tahoma" w:hAnsi="Tahoma"/>
          <w:u w:val="single"/>
        </w:rPr>
        <w:t>та</w:t>
      </w:r>
      <w:r w:rsidRPr="0096462F">
        <w:rPr>
          <w:rFonts w:ascii="Tahoma" w:hAnsi="Tahoma"/>
          <w:u w:val="single"/>
        </w:rPr>
        <w:t xml:space="preserve"> за управување со кредит</w:t>
      </w:r>
      <w:r w:rsidR="00F81725">
        <w:rPr>
          <w:rFonts w:ascii="Tahoma" w:hAnsi="Tahoma"/>
          <w:u w:val="single"/>
        </w:rPr>
        <w:t>ниот</w:t>
      </w:r>
      <w:r w:rsidRPr="0096462F">
        <w:rPr>
          <w:rFonts w:ascii="Tahoma" w:hAnsi="Tahoma"/>
          <w:u w:val="single"/>
        </w:rPr>
        <w:t xml:space="preserve"> ризик</w:t>
      </w:r>
      <w:r w:rsidRPr="00635273">
        <w:rPr>
          <w:rFonts w:ascii="Tahoma" w:hAnsi="Tahoma"/>
        </w:rPr>
        <w:t xml:space="preserve"> којашто почна да се применува од 1 декември 2013 година.</w:t>
      </w:r>
    </w:p>
    <w:p w:rsidR="00FC4D86" w:rsidRDefault="00FC4D86" w:rsidP="00FC4D86">
      <w:pPr>
        <w:pStyle w:val="Default"/>
        <w:jc w:val="both"/>
        <w:rPr>
          <w:b/>
          <w:color w:val="auto"/>
          <w:sz w:val="22"/>
          <w:szCs w:val="22"/>
        </w:rPr>
      </w:pPr>
    </w:p>
    <w:p w:rsidR="00FC4D86" w:rsidRDefault="00FC4D86" w:rsidP="00FC4D86">
      <w:pPr>
        <w:pStyle w:val="Default"/>
        <w:jc w:val="both"/>
        <w:rPr>
          <w:color w:val="auto"/>
          <w:sz w:val="22"/>
          <w:szCs w:val="22"/>
        </w:rPr>
      </w:pPr>
      <w:r w:rsidRPr="008B0176">
        <w:rPr>
          <w:b/>
          <w:color w:val="auto"/>
          <w:sz w:val="22"/>
          <w:szCs w:val="22"/>
        </w:rPr>
        <w:t>Јули</w:t>
      </w:r>
      <w:r>
        <w:rPr>
          <w:b/>
          <w:color w:val="auto"/>
          <w:sz w:val="22"/>
          <w:szCs w:val="22"/>
        </w:rPr>
        <w:t xml:space="preserve"> 2013</w:t>
      </w:r>
      <w:r w:rsidRPr="008B0176">
        <w:rPr>
          <w:color w:val="auto"/>
          <w:sz w:val="22"/>
          <w:szCs w:val="22"/>
        </w:rPr>
        <w:t xml:space="preserve"> </w:t>
      </w:r>
    </w:p>
    <w:p w:rsidR="00FC4D86" w:rsidRDefault="00FC4D86" w:rsidP="00FC4D86">
      <w:pPr>
        <w:pStyle w:val="Default"/>
        <w:jc w:val="both"/>
        <w:rPr>
          <w:color w:val="auto"/>
          <w:sz w:val="22"/>
          <w:szCs w:val="22"/>
        </w:rPr>
      </w:pPr>
    </w:p>
    <w:p w:rsidR="00FC4D86" w:rsidRPr="000B298F" w:rsidRDefault="00FC4D86" w:rsidP="00FC4D86">
      <w:pPr>
        <w:pStyle w:val="Default"/>
        <w:numPr>
          <w:ilvl w:val="0"/>
          <w:numId w:val="2"/>
        </w:numPr>
        <w:jc w:val="both"/>
        <w:rPr>
          <w:sz w:val="22"/>
          <w:szCs w:val="22"/>
        </w:rPr>
      </w:pPr>
      <w:r w:rsidRPr="000B298F">
        <w:rPr>
          <w:sz w:val="22"/>
          <w:szCs w:val="22"/>
        </w:rPr>
        <w:t xml:space="preserve">Донесена е </w:t>
      </w:r>
      <w:r w:rsidRPr="000B298F">
        <w:rPr>
          <w:sz w:val="22"/>
          <w:szCs w:val="22"/>
          <w:u w:val="single"/>
        </w:rPr>
        <w:t>Одлука</w:t>
      </w:r>
      <w:r w:rsidR="00F81725">
        <w:rPr>
          <w:sz w:val="22"/>
          <w:szCs w:val="22"/>
          <w:u w:val="single"/>
        </w:rPr>
        <w:t>та</w:t>
      </w:r>
      <w:r w:rsidRPr="000B298F">
        <w:rPr>
          <w:sz w:val="22"/>
          <w:szCs w:val="22"/>
          <w:u w:val="single"/>
        </w:rPr>
        <w:t xml:space="preserve"> за намалување на основната каматна стапка на благајничките записи</w:t>
      </w:r>
      <w:r w:rsidRPr="000B298F">
        <w:rPr>
          <w:sz w:val="22"/>
          <w:szCs w:val="22"/>
        </w:rPr>
        <w:t xml:space="preserve"> од 3,5% на 3,25%. Истовремено беше намалена и каматната стапка на располож</w:t>
      </w:r>
      <w:r w:rsidR="00F81725">
        <w:rPr>
          <w:sz w:val="22"/>
          <w:szCs w:val="22"/>
        </w:rPr>
        <w:t>л</w:t>
      </w:r>
      <w:r w:rsidRPr="000B298F">
        <w:rPr>
          <w:sz w:val="22"/>
          <w:szCs w:val="22"/>
        </w:rPr>
        <w:t>ивите депозити на седум дена од 1,75% на 1,5%.</w:t>
      </w:r>
    </w:p>
    <w:p w:rsidR="00FC4D86" w:rsidRDefault="00FC4D86" w:rsidP="00FC4D86">
      <w:pPr>
        <w:pStyle w:val="Default"/>
        <w:jc w:val="both"/>
        <w:rPr>
          <w:color w:val="auto"/>
          <w:sz w:val="22"/>
          <w:szCs w:val="22"/>
        </w:rPr>
      </w:pPr>
    </w:p>
    <w:p w:rsidR="00FC4D86" w:rsidRPr="008B0176" w:rsidRDefault="00FC4D86" w:rsidP="00FC4D86">
      <w:pPr>
        <w:pStyle w:val="Default"/>
        <w:numPr>
          <w:ilvl w:val="0"/>
          <w:numId w:val="2"/>
        </w:numPr>
        <w:jc w:val="both"/>
        <w:rPr>
          <w:color w:val="auto"/>
          <w:sz w:val="22"/>
          <w:szCs w:val="22"/>
        </w:rPr>
      </w:pPr>
      <w:r w:rsidRPr="0096462F">
        <w:rPr>
          <w:color w:val="auto"/>
          <w:sz w:val="22"/>
          <w:szCs w:val="22"/>
        </w:rPr>
        <w:t xml:space="preserve">Донесена е </w:t>
      </w:r>
      <w:r w:rsidRPr="008B0176">
        <w:rPr>
          <w:color w:val="auto"/>
          <w:sz w:val="22"/>
          <w:szCs w:val="22"/>
          <w:u w:val="single"/>
        </w:rPr>
        <w:t>Одлука</w:t>
      </w:r>
      <w:r w:rsidR="00F81725">
        <w:rPr>
          <w:color w:val="auto"/>
          <w:sz w:val="22"/>
          <w:szCs w:val="22"/>
          <w:u w:val="single"/>
        </w:rPr>
        <w:t>та</w:t>
      </w:r>
      <w:r w:rsidRPr="008B0176">
        <w:rPr>
          <w:color w:val="auto"/>
          <w:sz w:val="22"/>
          <w:szCs w:val="22"/>
          <w:u w:val="single"/>
        </w:rPr>
        <w:t xml:space="preserve"> за изменување на Одлуката за задолжителна резерва</w:t>
      </w:r>
      <w:r w:rsidRPr="008B0176">
        <w:rPr>
          <w:color w:val="auto"/>
          <w:sz w:val="22"/>
          <w:szCs w:val="22"/>
        </w:rPr>
        <w:t xml:space="preserve"> со која се намалува стапката на задолжителната резерва за обврските на банките во домашна валута од 10% на 8%, со истовремено зголемување на стапката на задолжителната резерва за обврските во странска валута од 13% на 15%. </w:t>
      </w:r>
      <w:r>
        <w:rPr>
          <w:color w:val="auto"/>
          <w:sz w:val="22"/>
          <w:szCs w:val="22"/>
        </w:rPr>
        <w:t xml:space="preserve">Исто така, со измените се предвидува стапка на издвојување задолжителна резерва од 0% за обврските на банките кон </w:t>
      </w:r>
      <w:proofErr w:type="spellStart"/>
      <w:r>
        <w:rPr>
          <w:color w:val="auto"/>
          <w:sz w:val="22"/>
          <w:szCs w:val="22"/>
        </w:rPr>
        <w:t>нерезидентите</w:t>
      </w:r>
      <w:proofErr w:type="spellEnd"/>
      <w:r>
        <w:rPr>
          <w:color w:val="auto"/>
          <w:sz w:val="22"/>
          <w:szCs w:val="22"/>
        </w:rPr>
        <w:t xml:space="preserve"> – финансиски друштва, со договорна </w:t>
      </w:r>
      <w:proofErr w:type="spellStart"/>
      <w:r>
        <w:rPr>
          <w:color w:val="auto"/>
          <w:sz w:val="22"/>
          <w:szCs w:val="22"/>
        </w:rPr>
        <w:t>рочност</w:t>
      </w:r>
      <w:proofErr w:type="spellEnd"/>
      <w:r>
        <w:rPr>
          <w:color w:val="auto"/>
          <w:sz w:val="22"/>
          <w:szCs w:val="22"/>
        </w:rPr>
        <w:t xml:space="preserve"> над една година, како и за сите обврски кон </w:t>
      </w:r>
      <w:proofErr w:type="spellStart"/>
      <w:r>
        <w:rPr>
          <w:color w:val="auto"/>
          <w:sz w:val="22"/>
          <w:szCs w:val="22"/>
        </w:rPr>
        <w:t>нерезидентите</w:t>
      </w:r>
      <w:proofErr w:type="spellEnd"/>
      <w:r>
        <w:rPr>
          <w:color w:val="auto"/>
          <w:sz w:val="22"/>
          <w:szCs w:val="22"/>
        </w:rPr>
        <w:t xml:space="preserve"> со договорна </w:t>
      </w:r>
      <w:proofErr w:type="spellStart"/>
      <w:r>
        <w:rPr>
          <w:color w:val="auto"/>
          <w:sz w:val="22"/>
          <w:szCs w:val="22"/>
        </w:rPr>
        <w:t>рочност</w:t>
      </w:r>
      <w:proofErr w:type="spellEnd"/>
      <w:r>
        <w:rPr>
          <w:color w:val="auto"/>
          <w:sz w:val="22"/>
          <w:szCs w:val="22"/>
        </w:rPr>
        <w:t xml:space="preserve"> над две години. </w:t>
      </w:r>
      <w:r w:rsidRPr="00635273">
        <w:rPr>
          <w:sz w:val="22"/>
          <w:szCs w:val="22"/>
        </w:rPr>
        <w:t xml:space="preserve">За краткорочните обврски кон </w:t>
      </w:r>
      <w:proofErr w:type="spellStart"/>
      <w:r w:rsidRPr="00635273">
        <w:rPr>
          <w:sz w:val="22"/>
          <w:szCs w:val="22"/>
        </w:rPr>
        <w:t>нерезидентите</w:t>
      </w:r>
      <w:proofErr w:type="spellEnd"/>
      <w:r w:rsidRPr="00635273">
        <w:rPr>
          <w:sz w:val="22"/>
          <w:szCs w:val="22"/>
        </w:rPr>
        <w:t xml:space="preserve"> - финансиски друштва во странска валута со договорна </w:t>
      </w:r>
      <w:proofErr w:type="spellStart"/>
      <w:r w:rsidRPr="00635273">
        <w:rPr>
          <w:sz w:val="22"/>
          <w:szCs w:val="22"/>
        </w:rPr>
        <w:t>рочност</w:t>
      </w:r>
      <w:proofErr w:type="spellEnd"/>
      <w:r w:rsidRPr="00635273">
        <w:rPr>
          <w:sz w:val="22"/>
          <w:szCs w:val="22"/>
        </w:rPr>
        <w:t xml:space="preserve"> до една година и натаму се применува стапка од 13%. Заради задржување на задолжителната резерва во денари и во евра на релативно стабилно ниво, со измените се предвидува зголемување на делот од задолжителната резерва во евра, којшто се исполнува во денари од 23% на 30%.</w:t>
      </w:r>
    </w:p>
    <w:p w:rsidR="00FC4D86" w:rsidRDefault="00FC4D86" w:rsidP="00FC4D86">
      <w:pPr>
        <w:pStyle w:val="Default"/>
        <w:jc w:val="both"/>
        <w:rPr>
          <w:color w:val="auto"/>
          <w:sz w:val="22"/>
          <w:szCs w:val="22"/>
        </w:rPr>
      </w:pPr>
    </w:p>
    <w:p w:rsidR="00FC4D86" w:rsidRPr="008B0176" w:rsidRDefault="00FC4D86" w:rsidP="00FC4D86">
      <w:pPr>
        <w:pStyle w:val="Default"/>
        <w:jc w:val="both"/>
        <w:rPr>
          <w:color w:val="auto"/>
          <w:sz w:val="22"/>
          <w:szCs w:val="22"/>
        </w:rPr>
      </w:pPr>
    </w:p>
    <w:p w:rsidR="00FC4D86" w:rsidRDefault="00FC4D86" w:rsidP="00FC4D86">
      <w:pPr>
        <w:pStyle w:val="Default"/>
        <w:jc w:val="both"/>
        <w:rPr>
          <w:b/>
          <w:color w:val="auto"/>
          <w:sz w:val="22"/>
          <w:szCs w:val="22"/>
        </w:rPr>
      </w:pPr>
      <w:r w:rsidRPr="008B0176">
        <w:rPr>
          <w:b/>
          <w:color w:val="auto"/>
          <w:sz w:val="22"/>
          <w:szCs w:val="22"/>
        </w:rPr>
        <w:t>Октомври</w:t>
      </w:r>
      <w:r>
        <w:rPr>
          <w:b/>
          <w:color w:val="auto"/>
          <w:sz w:val="22"/>
          <w:szCs w:val="22"/>
        </w:rPr>
        <w:t xml:space="preserve"> 2013</w:t>
      </w:r>
    </w:p>
    <w:p w:rsidR="00FC4D86" w:rsidRDefault="00FC4D86" w:rsidP="00FC4D86">
      <w:pPr>
        <w:pStyle w:val="Default"/>
        <w:jc w:val="both"/>
        <w:rPr>
          <w:b/>
          <w:color w:val="auto"/>
          <w:sz w:val="22"/>
          <w:szCs w:val="22"/>
        </w:rPr>
      </w:pPr>
    </w:p>
    <w:p w:rsidR="00FC4D86" w:rsidRDefault="00FC4D86" w:rsidP="00FC4D86">
      <w:pPr>
        <w:pStyle w:val="Default"/>
        <w:numPr>
          <w:ilvl w:val="0"/>
          <w:numId w:val="3"/>
        </w:numPr>
        <w:jc w:val="both"/>
        <w:rPr>
          <w:color w:val="auto"/>
          <w:sz w:val="22"/>
          <w:szCs w:val="22"/>
        </w:rPr>
      </w:pPr>
      <w:r w:rsidRPr="00954148">
        <w:rPr>
          <w:color w:val="auto"/>
          <w:sz w:val="22"/>
          <w:szCs w:val="22"/>
        </w:rPr>
        <w:t xml:space="preserve">Донесена е </w:t>
      </w:r>
      <w:r>
        <w:rPr>
          <w:color w:val="auto"/>
          <w:sz w:val="22"/>
          <w:szCs w:val="22"/>
          <w:u w:val="single"/>
        </w:rPr>
        <w:t>Одлука</w:t>
      </w:r>
      <w:r w:rsidR="004F34DC">
        <w:rPr>
          <w:color w:val="auto"/>
          <w:sz w:val="22"/>
          <w:szCs w:val="22"/>
          <w:u w:val="single"/>
        </w:rPr>
        <w:t>та</w:t>
      </w:r>
      <w:r w:rsidRPr="008B0176">
        <w:rPr>
          <w:color w:val="auto"/>
          <w:sz w:val="22"/>
          <w:szCs w:val="22"/>
          <w:u w:val="single"/>
        </w:rPr>
        <w:t xml:space="preserve"> за изменување на Одлуката за управување со </w:t>
      </w:r>
      <w:proofErr w:type="spellStart"/>
      <w:r w:rsidRPr="008B0176">
        <w:rPr>
          <w:color w:val="auto"/>
          <w:sz w:val="22"/>
          <w:szCs w:val="22"/>
          <w:u w:val="single"/>
        </w:rPr>
        <w:t>ликвидносниот</w:t>
      </w:r>
      <w:proofErr w:type="spellEnd"/>
      <w:r w:rsidRPr="008B0176">
        <w:rPr>
          <w:color w:val="auto"/>
          <w:sz w:val="22"/>
          <w:szCs w:val="22"/>
          <w:u w:val="single"/>
        </w:rPr>
        <w:t xml:space="preserve"> ризик на банките</w:t>
      </w:r>
      <w:r w:rsidRPr="008B0176">
        <w:rPr>
          <w:color w:val="auto"/>
          <w:sz w:val="22"/>
          <w:szCs w:val="22"/>
        </w:rPr>
        <w:t>. Со о</w:t>
      </w:r>
      <w:r>
        <w:rPr>
          <w:color w:val="auto"/>
          <w:sz w:val="22"/>
          <w:szCs w:val="22"/>
        </w:rPr>
        <w:t>в</w:t>
      </w:r>
      <w:r w:rsidRPr="008B0176">
        <w:rPr>
          <w:color w:val="auto"/>
          <w:sz w:val="22"/>
          <w:szCs w:val="22"/>
        </w:rPr>
        <w:t xml:space="preserve">аа одлука се намалува процентот </w:t>
      </w:r>
      <w:r>
        <w:rPr>
          <w:color w:val="auto"/>
          <w:sz w:val="22"/>
          <w:szCs w:val="22"/>
        </w:rPr>
        <w:t>на</w:t>
      </w:r>
      <w:r w:rsidRPr="008B0176">
        <w:rPr>
          <w:color w:val="auto"/>
          <w:sz w:val="22"/>
          <w:szCs w:val="22"/>
        </w:rPr>
        <w:t xml:space="preserve"> орочените депозити за кој се претпоставува дека ќе се одлее од банките, од 80% на 60%</w:t>
      </w:r>
      <w:r>
        <w:rPr>
          <w:color w:val="auto"/>
          <w:sz w:val="22"/>
          <w:szCs w:val="22"/>
        </w:rPr>
        <w:t>, а почнува да се применува од 1 декември 2013 година</w:t>
      </w:r>
      <w:r w:rsidRPr="008B0176">
        <w:rPr>
          <w:color w:val="auto"/>
          <w:sz w:val="22"/>
          <w:szCs w:val="22"/>
        </w:rPr>
        <w:t xml:space="preserve">. </w:t>
      </w:r>
      <w:r w:rsidRPr="00EB702C">
        <w:rPr>
          <w:sz w:val="22"/>
          <w:szCs w:val="22"/>
        </w:rPr>
        <w:t>Со промената ќе се ослободи повеќе простор кај банките за долгорочно кредитирање на реалниот сектор.</w:t>
      </w:r>
    </w:p>
    <w:p w:rsidR="00FC4D86" w:rsidRDefault="00FC4D86" w:rsidP="00FC4D86">
      <w:pPr>
        <w:pStyle w:val="Default"/>
        <w:jc w:val="both"/>
        <w:rPr>
          <w:color w:val="auto"/>
          <w:sz w:val="22"/>
          <w:szCs w:val="22"/>
        </w:rPr>
      </w:pPr>
    </w:p>
    <w:p w:rsidR="00FC4D86" w:rsidRDefault="00FC4D86" w:rsidP="00FC4D86">
      <w:pPr>
        <w:pStyle w:val="Default"/>
        <w:jc w:val="both"/>
        <w:rPr>
          <w:b/>
          <w:color w:val="auto"/>
          <w:sz w:val="22"/>
          <w:szCs w:val="22"/>
        </w:rPr>
      </w:pPr>
    </w:p>
    <w:p w:rsidR="00FC4D86" w:rsidRDefault="00FC4D86" w:rsidP="00FC4D86">
      <w:pPr>
        <w:pStyle w:val="Default"/>
        <w:jc w:val="both"/>
        <w:rPr>
          <w:color w:val="auto"/>
          <w:sz w:val="22"/>
          <w:szCs w:val="22"/>
        </w:rPr>
      </w:pPr>
      <w:r w:rsidRPr="008B0176">
        <w:rPr>
          <w:b/>
          <w:color w:val="auto"/>
          <w:sz w:val="22"/>
          <w:szCs w:val="22"/>
        </w:rPr>
        <w:t>Ноември</w:t>
      </w:r>
      <w:r>
        <w:rPr>
          <w:b/>
          <w:color w:val="auto"/>
          <w:sz w:val="22"/>
          <w:szCs w:val="22"/>
        </w:rPr>
        <w:t xml:space="preserve"> </w:t>
      </w:r>
      <w:r w:rsidRPr="00954148">
        <w:rPr>
          <w:b/>
          <w:color w:val="auto"/>
          <w:sz w:val="22"/>
          <w:szCs w:val="22"/>
        </w:rPr>
        <w:t>2013</w:t>
      </w:r>
      <w:r w:rsidRPr="00954148">
        <w:rPr>
          <w:color w:val="auto"/>
          <w:sz w:val="22"/>
          <w:szCs w:val="22"/>
        </w:rPr>
        <w:t xml:space="preserve"> </w:t>
      </w:r>
    </w:p>
    <w:p w:rsidR="00FC4D86" w:rsidRDefault="00FC4D86" w:rsidP="00FC4D86">
      <w:pPr>
        <w:pStyle w:val="Default"/>
        <w:jc w:val="both"/>
        <w:rPr>
          <w:color w:val="auto"/>
          <w:sz w:val="22"/>
          <w:szCs w:val="22"/>
          <w:u w:val="single"/>
        </w:rPr>
      </w:pPr>
    </w:p>
    <w:p w:rsidR="00FC4D86" w:rsidRDefault="00FC4D86" w:rsidP="00FC4D86">
      <w:pPr>
        <w:pStyle w:val="Default"/>
        <w:numPr>
          <w:ilvl w:val="0"/>
          <w:numId w:val="3"/>
        </w:numPr>
        <w:jc w:val="both"/>
        <w:rPr>
          <w:color w:val="auto"/>
          <w:sz w:val="22"/>
          <w:szCs w:val="22"/>
        </w:rPr>
      </w:pPr>
      <w:r w:rsidRPr="00954148">
        <w:rPr>
          <w:color w:val="auto"/>
          <w:sz w:val="22"/>
          <w:szCs w:val="22"/>
        </w:rPr>
        <w:t xml:space="preserve">Донесена е </w:t>
      </w:r>
      <w:r w:rsidRPr="008B0176">
        <w:rPr>
          <w:color w:val="auto"/>
          <w:sz w:val="22"/>
          <w:szCs w:val="22"/>
          <w:u w:val="single"/>
        </w:rPr>
        <w:t>Одлука</w:t>
      </w:r>
      <w:r w:rsidR="00FE30FD">
        <w:rPr>
          <w:color w:val="auto"/>
          <w:sz w:val="22"/>
          <w:szCs w:val="22"/>
          <w:u w:val="single"/>
        </w:rPr>
        <w:t>та</w:t>
      </w:r>
      <w:r w:rsidRPr="008B0176">
        <w:rPr>
          <w:color w:val="auto"/>
          <w:sz w:val="22"/>
          <w:szCs w:val="22"/>
          <w:u w:val="single"/>
        </w:rPr>
        <w:t xml:space="preserve"> за изменување на Одлуката за задолжителна резерва</w:t>
      </w:r>
      <w:r w:rsidRPr="008B0176">
        <w:rPr>
          <w:color w:val="auto"/>
          <w:sz w:val="22"/>
          <w:szCs w:val="22"/>
        </w:rPr>
        <w:t xml:space="preserve"> </w:t>
      </w:r>
      <w:r>
        <w:rPr>
          <w:color w:val="auto"/>
          <w:sz w:val="22"/>
          <w:szCs w:val="22"/>
        </w:rPr>
        <w:t>со која се предвидува НБРМ да не плаќа надомест на издвоената задолжителна резерва (стапката на надомест претходно изнесуваше 1% на задолжителната резерва во денари и 0,1% на задолжителната резерва во евра). Одлуката се применува од 1 јануари 2014 година.</w:t>
      </w:r>
    </w:p>
    <w:p w:rsidR="00FC4D86" w:rsidRPr="008B0176" w:rsidRDefault="00FC4D86" w:rsidP="00FC4D86">
      <w:pPr>
        <w:pStyle w:val="Default"/>
        <w:ind w:left="720"/>
        <w:jc w:val="both"/>
        <w:rPr>
          <w:color w:val="auto"/>
          <w:sz w:val="22"/>
          <w:szCs w:val="22"/>
        </w:rPr>
      </w:pPr>
    </w:p>
    <w:p w:rsidR="00FC4D86" w:rsidRPr="008B0176" w:rsidRDefault="00FC4D86" w:rsidP="00FC4D86">
      <w:pPr>
        <w:pStyle w:val="Default"/>
        <w:jc w:val="both"/>
        <w:rPr>
          <w:color w:val="auto"/>
          <w:sz w:val="22"/>
          <w:szCs w:val="22"/>
        </w:rPr>
      </w:pPr>
    </w:p>
    <w:p w:rsidR="00FC4D86" w:rsidRDefault="00FC4D86" w:rsidP="00FC4D86">
      <w:pPr>
        <w:pStyle w:val="Default"/>
        <w:numPr>
          <w:ilvl w:val="0"/>
          <w:numId w:val="3"/>
        </w:numPr>
        <w:jc w:val="both"/>
        <w:rPr>
          <w:color w:val="auto"/>
          <w:sz w:val="22"/>
          <w:szCs w:val="22"/>
        </w:rPr>
      </w:pPr>
      <w:r w:rsidRPr="00954148">
        <w:rPr>
          <w:color w:val="auto"/>
          <w:sz w:val="22"/>
          <w:szCs w:val="22"/>
        </w:rPr>
        <w:t xml:space="preserve">Донесена е </w:t>
      </w:r>
      <w:r w:rsidRPr="008B0176">
        <w:rPr>
          <w:color w:val="auto"/>
          <w:sz w:val="22"/>
          <w:szCs w:val="22"/>
          <w:u w:val="single"/>
        </w:rPr>
        <w:t>Одлука</w:t>
      </w:r>
      <w:r w:rsidR="00FE30FD">
        <w:rPr>
          <w:color w:val="auto"/>
          <w:sz w:val="22"/>
          <w:szCs w:val="22"/>
          <w:u w:val="single"/>
        </w:rPr>
        <w:t>та</w:t>
      </w:r>
      <w:r w:rsidRPr="008B0176">
        <w:rPr>
          <w:color w:val="auto"/>
          <w:sz w:val="22"/>
          <w:szCs w:val="22"/>
          <w:u w:val="single"/>
        </w:rPr>
        <w:t xml:space="preserve"> за благајничките записи</w:t>
      </w:r>
      <w:r w:rsidRPr="008B0176">
        <w:rPr>
          <w:color w:val="auto"/>
          <w:sz w:val="22"/>
          <w:szCs w:val="22"/>
        </w:rPr>
        <w:t xml:space="preserve"> со која се воведува методологија за утврдување на потенцијалната побарувачка </w:t>
      </w:r>
      <w:r w:rsidR="00FE30FD">
        <w:rPr>
          <w:color w:val="auto"/>
          <w:sz w:val="22"/>
          <w:szCs w:val="22"/>
        </w:rPr>
        <w:t>н</w:t>
      </w:r>
      <w:r w:rsidR="00FE30FD" w:rsidRPr="008B0176">
        <w:rPr>
          <w:color w:val="auto"/>
          <w:sz w:val="22"/>
          <w:szCs w:val="22"/>
        </w:rPr>
        <w:t xml:space="preserve">а </w:t>
      </w:r>
      <w:r w:rsidRPr="008B0176">
        <w:rPr>
          <w:color w:val="auto"/>
          <w:sz w:val="22"/>
          <w:szCs w:val="22"/>
        </w:rPr>
        <w:t xml:space="preserve">благајнички записи. Согласно со поставениот механизам, доколку на ниво на вкупниот банкарски систем се утврди дека постои повисока побарувачка од потенцијалната, банките коишто </w:t>
      </w:r>
      <w:proofErr w:type="spellStart"/>
      <w:r w:rsidRPr="008B0176">
        <w:rPr>
          <w:color w:val="auto"/>
          <w:sz w:val="22"/>
          <w:szCs w:val="22"/>
        </w:rPr>
        <w:t>аукцираат</w:t>
      </w:r>
      <w:proofErr w:type="spellEnd"/>
      <w:r w:rsidRPr="008B0176">
        <w:rPr>
          <w:color w:val="auto"/>
          <w:sz w:val="22"/>
          <w:szCs w:val="22"/>
        </w:rPr>
        <w:t xml:space="preserve"> со повисоки износи од сопствениот </w:t>
      </w:r>
      <w:proofErr w:type="spellStart"/>
      <w:r w:rsidRPr="008B0176">
        <w:rPr>
          <w:color w:val="auto"/>
          <w:sz w:val="22"/>
          <w:szCs w:val="22"/>
        </w:rPr>
        <w:t>ликвидносен</w:t>
      </w:r>
      <w:proofErr w:type="spellEnd"/>
      <w:r w:rsidRPr="008B0176">
        <w:rPr>
          <w:color w:val="auto"/>
          <w:sz w:val="22"/>
          <w:szCs w:val="22"/>
        </w:rPr>
        <w:t xml:space="preserve"> потенцијал, ќе имаат обврска разликата во однос на потенцијалот да ја пласираат во депозити со рок на достасување од седум дена. </w:t>
      </w:r>
    </w:p>
    <w:p w:rsidR="00FC4D86" w:rsidRPr="00954148" w:rsidRDefault="00FC4D86" w:rsidP="00FC4D86">
      <w:pPr>
        <w:pStyle w:val="Default"/>
        <w:jc w:val="both"/>
        <w:rPr>
          <w:color w:val="auto"/>
          <w:sz w:val="22"/>
          <w:szCs w:val="22"/>
        </w:rPr>
      </w:pPr>
    </w:p>
    <w:p w:rsidR="00FC4D86" w:rsidRDefault="00FC4D86" w:rsidP="00FC4D86">
      <w:pPr>
        <w:pStyle w:val="Default"/>
        <w:jc w:val="both"/>
        <w:rPr>
          <w:rFonts w:asciiTheme="minorHAnsi" w:hAnsiTheme="minorHAnsi" w:cstheme="minorBidi"/>
          <w:color w:val="auto"/>
          <w:sz w:val="22"/>
          <w:szCs w:val="22"/>
          <w:highlight w:val="yellow"/>
        </w:rPr>
      </w:pPr>
    </w:p>
    <w:p w:rsidR="00FC4D86" w:rsidRPr="00635273" w:rsidRDefault="00FC4D86" w:rsidP="00FC4D86">
      <w:pPr>
        <w:pStyle w:val="Default"/>
        <w:jc w:val="both"/>
        <w:rPr>
          <w:b/>
          <w:color w:val="auto"/>
          <w:sz w:val="22"/>
          <w:szCs w:val="22"/>
        </w:rPr>
      </w:pPr>
      <w:r>
        <w:rPr>
          <w:b/>
          <w:color w:val="auto"/>
          <w:sz w:val="22"/>
          <w:szCs w:val="22"/>
        </w:rPr>
        <w:t>Ф</w:t>
      </w:r>
      <w:r w:rsidRPr="00635273">
        <w:rPr>
          <w:b/>
          <w:color w:val="auto"/>
          <w:sz w:val="22"/>
          <w:szCs w:val="22"/>
        </w:rPr>
        <w:t xml:space="preserve">евруари 2014 </w:t>
      </w:r>
    </w:p>
    <w:p w:rsidR="00FC4D86" w:rsidRDefault="00FC4D86" w:rsidP="00FC4D86">
      <w:pPr>
        <w:pStyle w:val="Default"/>
        <w:ind w:left="720"/>
        <w:jc w:val="both"/>
        <w:rPr>
          <w:color w:val="auto"/>
          <w:sz w:val="22"/>
          <w:szCs w:val="22"/>
          <w:highlight w:val="yellow"/>
        </w:rPr>
      </w:pPr>
    </w:p>
    <w:p w:rsidR="00FC4D86" w:rsidRPr="00240810" w:rsidRDefault="00FC4D86" w:rsidP="00FC4D86">
      <w:pPr>
        <w:pStyle w:val="Default"/>
        <w:numPr>
          <w:ilvl w:val="0"/>
          <w:numId w:val="5"/>
        </w:numPr>
        <w:jc w:val="both"/>
        <w:rPr>
          <w:color w:val="auto"/>
          <w:sz w:val="22"/>
          <w:szCs w:val="22"/>
        </w:rPr>
      </w:pPr>
      <w:r>
        <w:rPr>
          <w:color w:val="auto"/>
          <w:sz w:val="22"/>
          <w:szCs w:val="22"/>
        </w:rPr>
        <w:t>Донесена е Одлука</w:t>
      </w:r>
      <w:r w:rsidR="00DE59F2">
        <w:rPr>
          <w:color w:val="auto"/>
          <w:sz w:val="22"/>
          <w:szCs w:val="22"/>
        </w:rPr>
        <w:t>та</w:t>
      </w:r>
      <w:r>
        <w:rPr>
          <w:color w:val="auto"/>
          <w:sz w:val="22"/>
          <w:szCs w:val="22"/>
        </w:rPr>
        <w:t xml:space="preserve"> за н</w:t>
      </w:r>
      <w:r w:rsidRPr="00635273">
        <w:rPr>
          <w:color w:val="auto"/>
          <w:sz w:val="22"/>
          <w:szCs w:val="22"/>
        </w:rPr>
        <w:t>амалување на каматната стапка на располож</w:t>
      </w:r>
      <w:r w:rsidR="00DE59F2">
        <w:rPr>
          <w:color w:val="auto"/>
          <w:sz w:val="22"/>
          <w:szCs w:val="22"/>
        </w:rPr>
        <w:t>л</w:t>
      </w:r>
      <w:r w:rsidRPr="00635273">
        <w:rPr>
          <w:color w:val="auto"/>
          <w:sz w:val="22"/>
          <w:szCs w:val="22"/>
        </w:rPr>
        <w:t>ивите депозити на седум дена од 1,5% на 1,25%.</w:t>
      </w:r>
    </w:p>
    <w:p w:rsidR="00FC4D86" w:rsidRDefault="00FC4D86" w:rsidP="00FC4D86">
      <w:pPr>
        <w:pStyle w:val="Default"/>
        <w:ind w:left="360"/>
        <w:jc w:val="both"/>
        <w:rPr>
          <w:color w:val="auto"/>
          <w:sz w:val="22"/>
          <w:szCs w:val="22"/>
        </w:rPr>
      </w:pPr>
    </w:p>
    <w:p w:rsidR="00FC4D86" w:rsidRPr="000E7508" w:rsidRDefault="00FC4D86" w:rsidP="00FC4D86">
      <w:pPr>
        <w:pStyle w:val="Default"/>
        <w:ind w:left="360"/>
        <w:jc w:val="both"/>
        <w:rPr>
          <w:color w:val="auto"/>
          <w:sz w:val="22"/>
          <w:szCs w:val="22"/>
        </w:rPr>
      </w:pPr>
    </w:p>
    <w:p w:rsidR="00FC4D86" w:rsidRPr="00635273" w:rsidRDefault="00FC4D86" w:rsidP="00FC4D86">
      <w:pPr>
        <w:pStyle w:val="Default"/>
        <w:jc w:val="both"/>
        <w:rPr>
          <w:b/>
          <w:color w:val="auto"/>
          <w:sz w:val="22"/>
          <w:szCs w:val="22"/>
        </w:rPr>
      </w:pPr>
      <w:r>
        <w:rPr>
          <w:b/>
          <w:color w:val="auto"/>
          <w:sz w:val="22"/>
          <w:szCs w:val="22"/>
        </w:rPr>
        <w:t>Април</w:t>
      </w:r>
      <w:r w:rsidRPr="00635273">
        <w:rPr>
          <w:b/>
          <w:color w:val="auto"/>
          <w:sz w:val="22"/>
          <w:szCs w:val="22"/>
        </w:rPr>
        <w:t xml:space="preserve"> 2014 </w:t>
      </w:r>
    </w:p>
    <w:p w:rsidR="00FC4D86" w:rsidRDefault="00FC4D86" w:rsidP="00FC4D86">
      <w:pPr>
        <w:pStyle w:val="Default"/>
        <w:ind w:left="360"/>
        <w:jc w:val="both"/>
        <w:rPr>
          <w:color w:val="auto"/>
          <w:sz w:val="22"/>
          <w:szCs w:val="22"/>
        </w:rPr>
      </w:pPr>
    </w:p>
    <w:p w:rsidR="00795856" w:rsidRPr="00795856" w:rsidRDefault="00795856" w:rsidP="00795856">
      <w:pPr>
        <w:pStyle w:val="ListParagraph"/>
        <w:numPr>
          <w:ilvl w:val="0"/>
          <w:numId w:val="5"/>
        </w:numPr>
        <w:tabs>
          <w:tab w:val="left" w:pos="993"/>
        </w:tabs>
        <w:jc w:val="both"/>
        <w:rPr>
          <w:szCs w:val="22"/>
        </w:rPr>
      </w:pPr>
      <w:r w:rsidRPr="00795856">
        <w:rPr>
          <w:rFonts w:ascii="Tahoma" w:hAnsi="Tahoma"/>
          <w:szCs w:val="22"/>
        </w:rPr>
        <w:t>Донесена е Одлука</w:t>
      </w:r>
      <w:r w:rsidR="00DE59F2">
        <w:rPr>
          <w:rFonts w:ascii="Tahoma" w:hAnsi="Tahoma"/>
          <w:szCs w:val="22"/>
        </w:rPr>
        <w:t>та</w:t>
      </w:r>
      <w:r w:rsidRPr="00795856">
        <w:rPr>
          <w:rFonts w:ascii="Tahoma" w:hAnsi="Tahoma"/>
          <w:szCs w:val="22"/>
        </w:rPr>
        <w:t xml:space="preserve"> за изменување и дополнување на методологијата за утврдување на адекватноста на капиталот, со која во </w:t>
      </w:r>
      <w:proofErr w:type="spellStart"/>
      <w:r w:rsidRPr="00795856">
        <w:rPr>
          <w:rFonts w:ascii="Tahoma" w:hAnsi="Tahoma"/>
          <w:szCs w:val="22"/>
        </w:rPr>
        <w:t>постоечката</w:t>
      </w:r>
      <w:proofErr w:type="spellEnd"/>
      <w:r w:rsidRPr="00795856">
        <w:rPr>
          <w:rFonts w:ascii="Tahoma" w:hAnsi="Tahoma"/>
          <w:szCs w:val="22"/>
        </w:rPr>
        <w:t xml:space="preserve"> одлука се вршат две измени коишто се очекува дека </w:t>
      </w:r>
      <w:r w:rsidRPr="00FD029D">
        <w:rPr>
          <w:rFonts w:ascii="Tahoma" w:hAnsi="Tahoma"/>
          <w:szCs w:val="22"/>
        </w:rPr>
        <w:t xml:space="preserve">позитивно ќе придонесат за кредитната поддршка на деловните банки кон претпријатијата. Имено, со оваа одлука (а согласно </w:t>
      </w:r>
      <w:r w:rsidR="00DE59F2">
        <w:rPr>
          <w:rFonts w:ascii="Tahoma" w:hAnsi="Tahoma"/>
          <w:szCs w:val="22"/>
        </w:rPr>
        <w:t xml:space="preserve">со </w:t>
      </w:r>
      <w:r w:rsidRPr="00FD029D">
        <w:rPr>
          <w:rFonts w:ascii="Tahoma" w:hAnsi="Tahoma"/>
          <w:szCs w:val="22"/>
        </w:rPr>
        <w:t xml:space="preserve">промените во новата Регулатива на ЕУ бр. 575/2013 за </w:t>
      </w:r>
      <w:proofErr w:type="spellStart"/>
      <w:r w:rsidRPr="00FD029D">
        <w:rPr>
          <w:rFonts w:ascii="Tahoma" w:hAnsi="Tahoma"/>
          <w:szCs w:val="22"/>
        </w:rPr>
        <w:t>прудентните</w:t>
      </w:r>
      <w:proofErr w:type="spellEnd"/>
      <w:r w:rsidRPr="00FD029D">
        <w:rPr>
          <w:rFonts w:ascii="Tahoma" w:hAnsi="Tahoma"/>
          <w:szCs w:val="22"/>
        </w:rPr>
        <w:t xml:space="preserve"> барања за кредитните институции и инвестициските фирми), </w:t>
      </w:r>
      <w:proofErr w:type="spellStart"/>
      <w:r w:rsidRPr="00FD029D">
        <w:rPr>
          <w:rFonts w:ascii="Tahoma" w:hAnsi="Tahoma"/>
          <w:szCs w:val="22"/>
        </w:rPr>
        <w:t>чинидбените</w:t>
      </w:r>
      <w:proofErr w:type="spellEnd"/>
      <w:r w:rsidRPr="00FD029D">
        <w:rPr>
          <w:rFonts w:ascii="Tahoma" w:hAnsi="Tahoma"/>
          <w:szCs w:val="22"/>
        </w:rPr>
        <w:t xml:space="preserve"> гаранции, односно гаранциите со кои се гарантира извршување одредена работа, се издвојуваат како ставки со </w:t>
      </w:r>
      <w:proofErr w:type="spellStart"/>
      <w:r w:rsidRPr="00FD029D">
        <w:rPr>
          <w:rFonts w:ascii="Tahoma" w:hAnsi="Tahoma"/>
          <w:szCs w:val="22"/>
        </w:rPr>
        <w:t>средно-низок</w:t>
      </w:r>
      <w:proofErr w:type="spellEnd"/>
      <w:r w:rsidRPr="00FD029D">
        <w:rPr>
          <w:rFonts w:ascii="Tahoma" w:hAnsi="Tahoma"/>
          <w:szCs w:val="22"/>
        </w:rPr>
        <w:t xml:space="preserve"> ризик, поради што за нив е предвиден понизок фактор на конверзија (20%), наместо досегашните 50%</w:t>
      </w:r>
      <w:r w:rsidRPr="00795856">
        <w:rPr>
          <w:rFonts w:ascii="Tahoma" w:hAnsi="Tahoma"/>
          <w:szCs w:val="22"/>
        </w:rPr>
        <w:t xml:space="preserve">.Тоа би значело дека при пресметката на адекватноста на капиталот, овие вонбилансни ставки во помал дел би се третирале како билансни, што може да влијае за подобрување на адекватноста на капиталот и да го поттикне кредитирањето </w:t>
      </w:r>
      <w:r w:rsidR="00DE59F2">
        <w:rPr>
          <w:rFonts w:ascii="Tahoma" w:hAnsi="Tahoma"/>
          <w:szCs w:val="22"/>
        </w:rPr>
        <w:t>на</w:t>
      </w:r>
      <w:r w:rsidR="00DE59F2" w:rsidRPr="00795856">
        <w:rPr>
          <w:rFonts w:ascii="Tahoma" w:hAnsi="Tahoma"/>
          <w:szCs w:val="22"/>
        </w:rPr>
        <w:t xml:space="preserve"> </w:t>
      </w:r>
      <w:r w:rsidRPr="00795856">
        <w:rPr>
          <w:rFonts w:ascii="Tahoma" w:hAnsi="Tahoma"/>
          <w:szCs w:val="22"/>
        </w:rPr>
        <w:t xml:space="preserve">корпоративниот сектор.  Другата новина што се воведува е мотивирана од меѓународната практика на формирање фондови од страна на </w:t>
      </w:r>
      <w:proofErr w:type="spellStart"/>
      <w:r w:rsidRPr="00795856">
        <w:rPr>
          <w:rFonts w:ascii="Tahoma" w:hAnsi="Tahoma"/>
          <w:szCs w:val="22"/>
        </w:rPr>
        <w:t>нискоризични</w:t>
      </w:r>
      <w:proofErr w:type="spellEnd"/>
      <w:r w:rsidRPr="00795856">
        <w:rPr>
          <w:rFonts w:ascii="Tahoma" w:hAnsi="Tahoma"/>
          <w:szCs w:val="22"/>
        </w:rPr>
        <w:t xml:space="preserve"> субјекти (централни влади или мултилатерални развојни банки)</w:t>
      </w:r>
      <w:r w:rsidR="00DE59F2">
        <w:rPr>
          <w:rFonts w:ascii="Tahoma" w:hAnsi="Tahoma"/>
          <w:szCs w:val="22"/>
        </w:rPr>
        <w:t>,</w:t>
      </w:r>
      <w:r w:rsidRPr="00795856">
        <w:rPr>
          <w:rFonts w:ascii="Tahoma" w:hAnsi="Tahoma"/>
          <w:szCs w:val="22"/>
        </w:rPr>
        <w:t xml:space="preserve"> чијашто основна цел е финансирање развојни проекти. Финансирањето на овие проекти најчесто се врши преку една или повеќе комерцијални банки, коишто</w:t>
      </w:r>
      <w:r w:rsidR="00DE59F2">
        <w:rPr>
          <w:rFonts w:ascii="Tahoma" w:hAnsi="Tahoma"/>
          <w:szCs w:val="22"/>
        </w:rPr>
        <w:t>,</w:t>
      </w:r>
      <w:r w:rsidRPr="00795856">
        <w:rPr>
          <w:rFonts w:ascii="Tahoma" w:hAnsi="Tahoma"/>
          <w:szCs w:val="22"/>
        </w:rPr>
        <w:t xml:space="preserve"> исто така</w:t>
      </w:r>
      <w:r w:rsidR="00DE59F2">
        <w:rPr>
          <w:rFonts w:ascii="Tahoma" w:hAnsi="Tahoma"/>
          <w:szCs w:val="22"/>
        </w:rPr>
        <w:t>,</w:t>
      </w:r>
      <w:r w:rsidRPr="00795856">
        <w:rPr>
          <w:rFonts w:ascii="Tahoma" w:hAnsi="Tahoma"/>
          <w:szCs w:val="22"/>
        </w:rPr>
        <w:t xml:space="preserve"> учествуваат со своите средства, и тоа: преку поделба на </w:t>
      </w:r>
      <w:proofErr w:type="spellStart"/>
      <w:r w:rsidRPr="00795856">
        <w:rPr>
          <w:rFonts w:ascii="Tahoma" w:hAnsi="Tahoma"/>
          <w:szCs w:val="22"/>
        </w:rPr>
        <w:t>изложеноста</w:t>
      </w:r>
      <w:proofErr w:type="spellEnd"/>
      <w:r w:rsidRPr="00795856">
        <w:rPr>
          <w:rFonts w:ascii="Tahoma" w:hAnsi="Tahoma"/>
          <w:szCs w:val="22"/>
        </w:rPr>
        <w:t xml:space="preserve"> во точно определен сооднос помеѓу банката и фондот или преку давање гаранции или други слични инструменти со кои фондот (давателот на гаранцијата) гарантира покривање на дел од кредитниот ризик во случај на неплаќање на обврските од страна на должникот. Со цел да се опфатат ваквите случаи, се овозможува поповолен </w:t>
      </w:r>
      <w:proofErr w:type="spellStart"/>
      <w:r w:rsidRPr="00795856">
        <w:rPr>
          <w:rFonts w:ascii="Tahoma" w:hAnsi="Tahoma"/>
          <w:szCs w:val="22"/>
        </w:rPr>
        <w:t>регулаторен</w:t>
      </w:r>
      <w:proofErr w:type="spellEnd"/>
      <w:r w:rsidRPr="00795856">
        <w:rPr>
          <w:rFonts w:ascii="Tahoma" w:hAnsi="Tahoma"/>
          <w:szCs w:val="22"/>
        </w:rPr>
        <w:t xml:space="preserve"> третман на фондовите основани од една или повеќе централни влади, мултилатерални развојни банки или јавни институции. За сите овие фондови, </w:t>
      </w:r>
      <w:proofErr w:type="spellStart"/>
      <w:r w:rsidRPr="00795856">
        <w:rPr>
          <w:rFonts w:ascii="Tahoma" w:hAnsi="Tahoma"/>
          <w:szCs w:val="22"/>
        </w:rPr>
        <w:t>пондерот</w:t>
      </w:r>
      <w:proofErr w:type="spellEnd"/>
      <w:r w:rsidRPr="00795856">
        <w:rPr>
          <w:rFonts w:ascii="Tahoma" w:hAnsi="Tahoma"/>
          <w:szCs w:val="22"/>
        </w:rPr>
        <w:t xml:space="preserve"> за ризичност ќе изнесува 0%, при што условот ќе биде финансирањето да се изврши со уплата во удели, односно билансните и вонбилансните активности да бидат покриени со капиталот на фондот. </w:t>
      </w:r>
    </w:p>
    <w:p w:rsidR="00007100" w:rsidRDefault="00007100">
      <w:pPr>
        <w:rPr>
          <w:rFonts w:ascii="Tahoma" w:hAnsi="Tahoma"/>
          <w:b/>
          <w:szCs w:val="22"/>
        </w:rPr>
      </w:pPr>
    </w:p>
    <w:sectPr w:rsidR="00007100" w:rsidSect="00C03BC5">
      <w:headerReference w:type="default" r:id="rId62"/>
      <w:pgSz w:w="11907" w:h="16839" w:code="9"/>
      <w:pgMar w:top="1264" w:right="1015" w:bottom="720" w:left="658" w:header="720" w:footer="720" w:gutter="0"/>
      <w:cols w:space="284" w:equalWidth="0">
        <w:col w:w="10232" w:space="284"/>
      </w:cols>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3EB9" w:rsidRDefault="002D3EB9" w:rsidP="0032374C">
      <w:r>
        <w:separator/>
      </w:r>
    </w:p>
  </w:endnote>
  <w:endnote w:type="continuationSeparator" w:id="0">
    <w:p w:rsidR="002D3EB9" w:rsidRDefault="002D3EB9" w:rsidP="0032374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MAC C Times">
    <w:panose1 w:val="02027200000000000000"/>
    <w:charset w:val="00"/>
    <w:family w:val="roman"/>
    <w:pitch w:val="variable"/>
    <w:sig w:usb0="00000087" w:usb1="00000000" w:usb2="00000000" w:usb3="00000000" w:csb0="0000001B" w:csb1="00000000"/>
  </w:font>
  <w:font w:name="Tahoma">
    <w:altName w:val="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Pr="009C7C80" w:rsidRDefault="007234CB">
    <w:pPr>
      <w:pStyle w:val="Footer"/>
      <w:jc w:val="right"/>
      <w:rPr>
        <w:rFonts w:ascii="Tahoma" w:hAnsi="Tahoma"/>
        <w:sz w:val="20"/>
      </w:rPr>
    </w:pPr>
    <w:r w:rsidRPr="003B5DB7">
      <w:rPr>
        <w:rFonts w:ascii="Tahoma" w:hAnsi="Tahoma"/>
      </w:rPr>
      <w:fldChar w:fldCharType="begin"/>
    </w:r>
    <w:r w:rsidR="006629DA" w:rsidRPr="003B5DB7">
      <w:rPr>
        <w:rFonts w:ascii="Tahoma" w:hAnsi="Tahoma"/>
        <w:sz w:val="20"/>
      </w:rPr>
      <w:instrText xml:space="preserve"> PAGE </w:instrText>
    </w:r>
    <w:r w:rsidRPr="003B5DB7">
      <w:rPr>
        <w:rFonts w:ascii="Tahoma" w:hAnsi="Tahoma"/>
      </w:rPr>
      <w:fldChar w:fldCharType="separate"/>
    </w:r>
    <w:r w:rsidR="00C03BC5">
      <w:rPr>
        <w:rFonts w:ascii="Tahoma" w:hAnsi="Tahoma"/>
        <w:noProof/>
        <w:sz w:val="20"/>
      </w:rPr>
      <w:t>33</w:t>
    </w:r>
    <w:r w:rsidRPr="003B5DB7">
      <w:rPr>
        <w:rFonts w:ascii="Tahoma" w:hAnsi="Tahoma"/>
      </w:rPr>
      <w:fldChar w:fldCharType="end"/>
    </w:r>
    <w:r w:rsidR="006629DA" w:rsidRPr="003B5DB7">
      <w:rPr>
        <w:rFonts w:ascii="Tahoma" w:hAnsi="Tahoma"/>
        <w:sz w:val="20"/>
      </w:rPr>
      <w:t xml:space="preserve"> од </w:t>
    </w:r>
    <w:r w:rsidRPr="003B5DB7">
      <w:rPr>
        <w:rFonts w:ascii="Tahoma" w:hAnsi="Tahoma"/>
      </w:rPr>
      <w:fldChar w:fldCharType="begin"/>
    </w:r>
    <w:r w:rsidR="006629DA" w:rsidRPr="003B5DB7">
      <w:rPr>
        <w:rFonts w:ascii="Tahoma" w:hAnsi="Tahoma"/>
        <w:sz w:val="20"/>
      </w:rPr>
      <w:instrText xml:space="preserve"> NUMPAGES  </w:instrText>
    </w:r>
    <w:r w:rsidRPr="003B5DB7">
      <w:rPr>
        <w:rFonts w:ascii="Tahoma" w:hAnsi="Tahoma"/>
      </w:rPr>
      <w:fldChar w:fldCharType="separate"/>
    </w:r>
    <w:r w:rsidR="00C03BC5">
      <w:rPr>
        <w:rFonts w:ascii="Tahoma" w:hAnsi="Tahoma"/>
        <w:noProof/>
        <w:sz w:val="20"/>
      </w:rPr>
      <w:t>33</w:t>
    </w:r>
    <w:r w:rsidRPr="003B5DB7">
      <w:rPr>
        <w:rFonts w:ascii="Tahoma" w:hAnsi="Tahoma"/>
      </w:rPr>
      <w:fldChar w:fldCharType="end"/>
    </w:r>
  </w:p>
  <w:p w:rsidR="006629DA" w:rsidRDefault="006629D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3EB9" w:rsidRDefault="002D3EB9" w:rsidP="0032374C">
      <w:r>
        <w:separator/>
      </w:r>
    </w:p>
  </w:footnote>
  <w:footnote w:type="continuationSeparator" w:id="0">
    <w:p w:rsidR="002D3EB9" w:rsidRDefault="002D3EB9" w:rsidP="0032374C">
      <w:r>
        <w:continuationSeparator/>
      </w:r>
    </w:p>
  </w:footnote>
  <w:footnote w:id="1">
    <w:p w:rsidR="006629DA" w:rsidRPr="00BC3362" w:rsidRDefault="006629DA" w:rsidP="009F4502">
      <w:pPr>
        <w:pStyle w:val="NoSpacing"/>
        <w:jc w:val="both"/>
        <w:rPr>
          <w:rFonts w:ascii="Tahoma" w:hAnsi="Tahoma" w:cs="Tahoma"/>
          <w:sz w:val="16"/>
          <w:szCs w:val="16"/>
        </w:rPr>
      </w:pPr>
      <w:r w:rsidRPr="00BC3362">
        <w:rPr>
          <w:rStyle w:val="FootnoteReference"/>
          <w:rFonts w:ascii="Tahoma" w:hAnsi="Tahoma" w:cs="Tahoma"/>
          <w:sz w:val="16"/>
          <w:szCs w:val="16"/>
        </w:rPr>
        <w:footnoteRef/>
      </w:r>
      <w:r w:rsidRPr="00BC3362">
        <w:rPr>
          <w:rFonts w:ascii="Tahoma" w:hAnsi="Tahoma" w:cs="Tahoma"/>
          <w:sz w:val="16"/>
          <w:szCs w:val="16"/>
        </w:rPr>
        <w:t>IMF Commodity Price Outlook &amp; Risks, 21 July, http://www</w:t>
      </w:r>
      <w:r>
        <w:rPr>
          <w:rFonts w:ascii="Tahoma" w:hAnsi="Tahoma" w:cs="Tahoma"/>
          <w:sz w:val="16"/>
          <w:szCs w:val="16"/>
        </w:rPr>
        <w:t>.</w:t>
      </w:r>
      <w:r w:rsidRPr="00BC3362">
        <w:rPr>
          <w:rFonts w:ascii="Tahoma" w:hAnsi="Tahoma" w:cs="Tahoma"/>
          <w:sz w:val="16"/>
          <w:szCs w:val="16"/>
        </w:rPr>
        <w:t>imf</w:t>
      </w:r>
      <w:r>
        <w:rPr>
          <w:rFonts w:ascii="Tahoma" w:hAnsi="Tahoma" w:cs="Tahoma"/>
          <w:sz w:val="16"/>
          <w:szCs w:val="16"/>
        </w:rPr>
        <w:t>.</w:t>
      </w:r>
      <w:r w:rsidRPr="00BC3362">
        <w:rPr>
          <w:rFonts w:ascii="Tahoma" w:hAnsi="Tahoma" w:cs="Tahoma"/>
          <w:sz w:val="16"/>
          <w:szCs w:val="16"/>
        </w:rPr>
        <w:t>org/external/np/res/commod/pdf/cpor/2014/cpor0714</w:t>
      </w:r>
      <w:r>
        <w:rPr>
          <w:rFonts w:ascii="Tahoma" w:hAnsi="Tahoma" w:cs="Tahoma"/>
          <w:sz w:val="16"/>
          <w:szCs w:val="16"/>
        </w:rPr>
        <w:t>.</w:t>
      </w:r>
      <w:r w:rsidRPr="00BC3362">
        <w:rPr>
          <w:rFonts w:ascii="Tahoma" w:hAnsi="Tahoma" w:cs="Tahoma"/>
          <w:sz w:val="16"/>
          <w:szCs w:val="16"/>
        </w:rPr>
        <w:t>pdf</w:t>
      </w:r>
    </w:p>
  </w:footnote>
  <w:footnote w:id="2">
    <w:p w:rsidR="006629DA" w:rsidRPr="00046ED8" w:rsidRDefault="006629DA" w:rsidP="00046ED8">
      <w:pPr>
        <w:pStyle w:val="NoSpacing"/>
        <w:rPr>
          <w:rFonts w:ascii="Tahoma" w:hAnsi="Tahoma" w:cs="Tahoma"/>
          <w:sz w:val="16"/>
          <w:szCs w:val="16"/>
          <w:lang w:val="mk-MK"/>
        </w:rPr>
      </w:pPr>
      <w:r w:rsidRPr="00046ED8">
        <w:rPr>
          <w:rStyle w:val="FootnoteReference"/>
          <w:rFonts w:ascii="Tahoma" w:hAnsi="Tahoma" w:cs="Tahoma"/>
          <w:sz w:val="16"/>
          <w:szCs w:val="16"/>
          <w:lang w:val="mk-MK"/>
        </w:rPr>
        <w:footnoteRef/>
      </w:r>
      <w:r w:rsidRPr="00046ED8">
        <w:rPr>
          <w:rFonts w:ascii="Tahoma" w:hAnsi="Tahoma" w:cs="Tahoma"/>
          <w:sz w:val="16"/>
          <w:szCs w:val="16"/>
          <w:lang w:val="mk-MK"/>
        </w:rPr>
        <w:t xml:space="preserve"> ОПЕК, Месечен извештај за пазарот на нафта, јуни 2014 година, http://www.opec.org/opec_web/static_files_project/media/downloads/publications/momrjuly2014. </w:t>
      </w:r>
      <w:proofErr w:type="spellStart"/>
      <w:r w:rsidRPr="00046ED8">
        <w:rPr>
          <w:rFonts w:ascii="Tahoma" w:hAnsi="Tahoma" w:cs="Tahoma"/>
          <w:sz w:val="16"/>
          <w:szCs w:val="16"/>
          <w:lang w:val="mk-MK"/>
        </w:rPr>
        <w:t>pdf</w:t>
      </w:r>
      <w:proofErr w:type="spellEnd"/>
    </w:p>
    <w:p w:rsidR="006629DA" w:rsidRPr="008D3CF4" w:rsidRDefault="006629DA" w:rsidP="009F4502">
      <w:pPr>
        <w:pStyle w:val="NoSpacing"/>
        <w:jc w:val="both"/>
        <w:rPr>
          <w:rFonts w:ascii="Tahoma" w:hAnsi="Tahoma" w:cs="Tahoma"/>
          <w:sz w:val="16"/>
          <w:szCs w:val="16"/>
          <w:lang w:val="mk-MK"/>
        </w:rPr>
      </w:pPr>
      <w:r w:rsidRPr="00046ED8">
        <w:rPr>
          <w:rFonts w:ascii="Tahoma" w:hAnsi="Tahoma" w:cs="Tahoma"/>
          <w:sz w:val="16"/>
          <w:szCs w:val="16"/>
          <w:lang w:val="mk-MK"/>
        </w:rPr>
        <w:t xml:space="preserve">Нагорните </w:t>
      </w:r>
      <w:proofErr w:type="spellStart"/>
      <w:r w:rsidRPr="00046ED8">
        <w:rPr>
          <w:rFonts w:ascii="Tahoma" w:hAnsi="Tahoma" w:cs="Tahoma"/>
          <w:sz w:val="16"/>
          <w:szCs w:val="16"/>
          <w:lang w:val="mk-MK"/>
        </w:rPr>
        <w:t>ценовни</w:t>
      </w:r>
      <w:proofErr w:type="spellEnd"/>
      <w:r w:rsidRPr="00046ED8">
        <w:rPr>
          <w:rFonts w:ascii="Tahoma" w:hAnsi="Tahoma" w:cs="Tahoma"/>
          <w:sz w:val="16"/>
          <w:szCs w:val="16"/>
          <w:lang w:val="mk-MK"/>
        </w:rPr>
        <w:t xml:space="preserve"> притисоци на нафтата се оценуваат како</w:t>
      </w:r>
      <w:r>
        <w:rPr>
          <w:rFonts w:ascii="Tahoma" w:hAnsi="Tahoma" w:cs="Tahoma"/>
          <w:sz w:val="16"/>
          <w:szCs w:val="16"/>
          <w:lang w:val="mk-MK"/>
        </w:rPr>
        <w:t xml:space="preserve"> привремени, и притоа не се резултат на фундаментални фактори. </w:t>
      </w:r>
    </w:p>
  </w:footnote>
  <w:footnote w:id="3">
    <w:p w:rsidR="006629DA" w:rsidRPr="00963FBC" w:rsidRDefault="006629DA" w:rsidP="00B365D9">
      <w:pPr>
        <w:pStyle w:val="FootnoteText"/>
        <w:rPr>
          <w:sz w:val="16"/>
          <w:szCs w:val="16"/>
          <w:lang w:val="mk-MK"/>
        </w:rPr>
      </w:pPr>
      <w:r w:rsidRPr="004B5747">
        <w:rPr>
          <w:rStyle w:val="FootnoteReference"/>
          <w:color w:val="0D0D0D" w:themeColor="text1" w:themeTint="F2"/>
          <w:sz w:val="16"/>
          <w:szCs w:val="16"/>
        </w:rPr>
        <w:footnoteRef/>
      </w:r>
      <w:r w:rsidRPr="004B5747">
        <w:rPr>
          <w:color w:val="0D0D0D" w:themeColor="text1" w:themeTint="F2"/>
          <w:sz w:val="16"/>
          <w:szCs w:val="16"/>
        </w:rPr>
        <w:t xml:space="preserve"> </w:t>
      </w:r>
      <w:hyperlink r:id="rId1" w:history="1">
        <w:r w:rsidRPr="004B5747">
          <w:rPr>
            <w:rStyle w:val="Hyperlink"/>
            <w:color w:val="0D0D0D" w:themeColor="text1" w:themeTint="F2"/>
            <w:sz w:val="16"/>
            <w:szCs w:val="16"/>
          </w:rPr>
          <w:t>http://www.imf.org/external/np/res/commod/pdf/monthly/070114.pdf</w:t>
        </w:r>
      </w:hyperlink>
      <w:r w:rsidRPr="004B5747">
        <w:rPr>
          <w:color w:val="0D0D0D" w:themeColor="text1" w:themeTint="F2"/>
          <w:sz w:val="16"/>
          <w:szCs w:val="16"/>
        </w:rPr>
        <w:t xml:space="preserve"> </w:t>
      </w:r>
    </w:p>
  </w:footnote>
  <w:footnote w:id="4">
    <w:p w:rsidR="006629DA" w:rsidRPr="00A50833" w:rsidRDefault="006629DA" w:rsidP="00B365D9">
      <w:pPr>
        <w:pStyle w:val="NoSpacing"/>
        <w:jc w:val="both"/>
        <w:rPr>
          <w:sz w:val="18"/>
          <w:szCs w:val="18"/>
          <w:lang w:val="mk-MK"/>
        </w:rPr>
      </w:pPr>
      <w:r w:rsidRPr="00D35DAF">
        <w:rPr>
          <w:rStyle w:val="FootnoteReference"/>
          <w:rFonts w:ascii="Tahoma" w:hAnsi="Tahoma" w:cs="Tahoma"/>
          <w:sz w:val="16"/>
          <w:szCs w:val="16"/>
        </w:rPr>
        <w:footnoteRef/>
      </w:r>
      <w:r w:rsidRPr="00A50833">
        <w:rPr>
          <w:rFonts w:ascii="Tahoma" w:hAnsi="Tahoma" w:cs="Tahoma"/>
          <w:sz w:val="16"/>
          <w:szCs w:val="16"/>
          <w:lang w:val="mk-MK"/>
        </w:rPr>
        <w:t xml:space="preserve">Намалување на основната каматна стапка на 0,15%, намалување на маргината помеѓу каматните стапки на расположливите кредити и депозити преку ноќ и воведување негативна стапка на депонираните вишок средства во ЕЦБ. </w:t>
      </w:r>
      <w:r w:rsidRPr="00A50833">
        <w:rPr>
          <w:rFonts w:ascii="Tahoma" w:hAnsi="Tahoma" w:cs="Tahoma"/>
          <w:sz w:val="16"/>
          <w:szCs w:val="16"/>
          <w:lang w:val="mk-MK"/>
        </w:rPr>
        <w:cr/>
      </w:r>
    </w:p>
  </w:footnote>
  <w:footnote w:id="5">
    <w:p w:rsidR="006629DA" w:rsidRDefault="006629DA" w:rsidP="00FF0635">
      <w:pPr>
        <w:pStyle w:val="FootnoteText"/>
        <w:spacing w:after="0" w:line="240" w:lineRule="auto"/>
        <w:jc w:val="both"/>
        <w:rPr>
          <w:sz w:val="16"/>
          <w:szCs w:val="16"/>
          <w:lang w:val="mk-MK"/>
        </w:rPr>
      </w:pPr>
      <w:r w:rsidRPr="00A415B5">
        <w:rPr>
          <w:rStyle w:val="FootnoteReference"/>
          <w:rFonts w:cs="Tahoma"/>
          <w:sz w:val="16"/>
          <w:szCs w:val="16"/>
        </w:rPr>
        <w:footnoteRef/>
      </w:r>
      <w:r w:rsidRPr="00A415B5">
        <w:rPr>
          <w:rFonts w:cs="Tahoma"/>
          <w:sz w:val="16"/>
          <w:szCs w:val="16"/>
          <w:lang w:val="mk-MK"/>
        </w:rPr>
        <w:t xml:space="preserve"> Како категории со најголем индивидуален придонес кон јулскиот раст на трошоците на животот се издвојуваат: електричната енергија (месечен раст на цените од </w:t>
      </w:r>
      <w:r>
        <w:rPr>
          <w:rFonts w:cs="Tahoma"/>
          <w:sz w:val="16"/>
          <w:szCs w:val="16"/>
          <w:lang w:val="mk-MK"/>
        </w:rPr>
        <w:t>3</w:t>
      </w:r>
      <w:r w:rsidRPr="00A415B5">
        <w:rPr>
          <w:rFonts w:cs="Tahoma"/>
          <w:sz w:val="16"/>
          <w:szCs w:val="16"/>
          <w:lang w:val="mk-MK"/>
        </w:rPr>
        <w:t>,6%), тутунот (месечен раст на цените од 5,5%) и течните горива и мазива (месечен раст на цените од 2</w:t>
      </w:r>
      <w:r>
        <w:rPr>
          <w:rFonts w:cs="Tahoma"/>
          <w:sz w:val="16"/>
          <w:szCs w:val="16"/>
          <w:lang w:val="mk-MK"/>
        </w:rPr>
        <w:t>,0</w:t>
      </w:r>
      <w:r w:rsidRPr="00A415B5">
        <w:rPr>
          <w:rFonts w:cs="Tahoma"/>
          <w:sz w:val="16"/>
          <w:szCs w:val="16"/>
          <w:lang w:val="mk-MK"/>
        </w:rPr>
        <w:t>%).</w:t>
      </w:r>
      <w:r>
        <w:rPr>
          <w:rFonts w:cs="Tahoma"/>
          <w:sz w:val="16"/>
          <w:szCs w:val="16"/>
          <w:lang w:val="mk-MK"/>
        </w:rPr>
        <w:t xml:space="preserve"> Согласно со најавите в</w:t>
      </w:r>
      <w:r>
        <w:rPr>
          <w:sz w:val="16"/>
          <w:szCs w:val="16"/>
          <w:lang w:val="mk-MK"/>
        </w:rPr>
        <w:t xml:space="preserve">о јули, регистрирано е и зголемување на цената на лебот и печивата, но со помал интензитет од очекуваниот. Сепак, цената на вкупната категорија „леб и житарки“ бележи мало намалување заради намалените цени на житарките и тестенините, што го одразува трендот на намалувањето на глобалните цени на овие примарни производи. </w:t>
      </w:r>
    </w:p>
    <w:p w:rsidR="006629DA" w:rsidRPr="00114669" w:rsidRDefault="006629DA" w:rsidP="00A64392">
      <w:pPr>
        <w:pStyle w:val="FootnoteText"/>
        <w:jc w:val="both"/>
        <w:rPr>
          <w:rStyle w:val="FootnoteReference"/>
          <w:lang w:val="mk-MK"/>
        </w:rPr>
      </w:pPr>
      <w:r w:rsidRPr="00AA1CBC">
        <w:rPr>
          <w:rFonts w:cs="Tahoma"/>
          <w:sz w:val="16"/>
          <w:szCs w:val="16"/>
          <w:lang w:val="mk-MK"/>
        </w:rPr>
        <w:t xml:space="preserve">  </w:t>
      </w:r>
      <w:r w:rsidRPr="00BC1DC4">
        <w:rPr>
          <w:rFonts w:cs="Tahoma"/>
          <w:sz w:val="16"/>
          <w:szCs w:val="16"/>
          <w:lang w:val="mk-MK"/>
        </w:rPr>
        <w:t xml:space="preserve"> </w:t>
      </w:r>
    </w:p>
  </w:footnote>
  <w:footnote w:id="6">
    <w:p w:rsidR="006629DA" w:rsidRPr="009667C4" w:rsidRDefault="006629DA" w:rsidP="009667C4">
      <w:pPr>
        <w:pStyle w:val="FootnoteText"/>
        <w:spacing w:after="0" w:line="240" w:lineRule="auto"/>
        <w:jc w:val="both"/>
        <w:rPr>
          <w:rFonts w:cs="Tahoma"/>
          <w:lang w:val="mk-MK"/>
        </w:rPr>
      </w:pPr>
      <w:r w:rsidRPr="005120D6">
        <w:rPr>
          <w:rStyle w:val="FootnoteReference"/>
          <w:rFonts w:cs="Tahoma"/>
          <w:sz w:val="16"/>
          <w:szCs w:val="16"/>
        </w:rPr>
        <w:footnoteRef/>
      </w:r>
      <w:r w:rsidRPr="005120D6">
        <w:rPr>
          <w:rFonts w:cs="Tahoma"/>
          <w:sz w:val="16"/>
          <w:szCs w:val="16"/>
        </w:rPr>
        <w:t xml:space="preserve"> </w:t>
      </w:r>
      <w:r w:rsidRPr="005120D6">
        <w:rPr>
          <w:rFonts w:cs="Tahoma"/>
          <w:sz w:val="16"/>
          <w:szCs w:val="16"/>
          <w:lang w:val="mk-MK"/>
        </w:rPr>
        <w:t>Веќе</w:t>
      </w:r>
      <w:r w:rsidRPr="005120D6">
        <w:rPr>
          <w:rFonts w:cs="Tahoma"/>
          <w:lang w:val="mk-MK"/>
        </w:rPr>
        <w:t xml:space="preserve"> </w:t>
      </w:r>
      <w:r w:rsidRPr="005120D6">
        <w:rPr>
          <w:rFonts w:cs="Tahoma"/>
          <w:sz w:val="16"/>
          <w:szCs w:val="16"/>
          <w:lang w:val="mk-MK"/>
        </w:rPr>
        <w:t>извесен надолен ризик претставува и последната одлука за намалување на цената на централното парно греење за 4,7%</w:t>
      </w:r>
      <w:r>
        <w:rPr>
          <w:rFonts w:cs="Tahoma"/>
          <w:sz w:val="16"/>
          <w:szCs w:val="16"/>
          <w:lang w:val="mk-MK"/>
        </w:rPr>
        <w:t xml:space="preserve"> </w:t>
      </w:r>
      <w:r w:rsidRPr="005120D6">
        <w:rPr>
          <w:rFonts w:cs="Tahoma"/>
          <w:sz w:val="16"/>
          <w:szCs w:val="16"/>
          <w:lang w:val="mk-MK"/>
        </w:rPr>
        <w:t>од август 2014 година.</w:t>
      </w:r>
    </w:p>
  </w:footnote>
  <w:footnote w:id="7">
    <w:p w:rsidR="006629DA" w:rsidRDefault="006629DA" w:rsidP="00A64392">
      <w:pPr>
        <w:pStyle w:val="FootnoteText"/>
        <w:spacing w:after="0" w:line="240" w:lineRule="auto"/>
        <w:jc w:val="both"/>
        <w:rPr>
          <w:rFonts w:cs="Tahoma"/>
          <w:sz w:val="16"/>
          <w:szCs w:val="16"/>
          <w:lang w:val="mk-MK"/>
        </w:rPr>
      </w:pPr>
      <w:r w:rsidRPr="00DF7C2F">
        <w:rPr>
          <w:rStyle w:val="FootnoteReference"/>
          <w:rFonts w:cs="Tahoma"/>
          <w:sz w:val="16"/>
          <w:szCs w:val="16"/>
        </w:rPr>
        <w:footnoteRef/>
      </w:r>
      <w:r w:rsidRPr="00A262FE">
        <w:rPr>
          <w:rFonts w:cs="Tahoma"/>
          <w:sz w:val="16"/>
          <w:szCs w:val="16"/>
          <w:vertAlign w:val="superscript"/>
          <w:lang w:val="mk-MK"/>
        </w:rPr>
        <w:t xml:space="preserve"> </w:t>
      </w:r>
      <w:r w:rsidRPr="00DF7C2F">
        <w:rPr>
          <w:rFonts w:cs="Tahoma"/>
          <w:sz w:val="16"/>
          <w:szCs w:val="16"/>
          <w:lang w:val="mk-MK"/>
        </w:rPr>
        <w:t xml:space="preserve">Земајќи го предвид намалениот извозен потенцијал на прехранбени производи од Србија (жита и преработки од жита, месо и преработки од месо, масло и маснотии), постои можност да дојде до одредени нагорни </w:t>
      </w:r>
      <w:proofErr w:type="spellStart"/>
      <w:r w:rsidRPr="00DF7C2F">
        <w:rPr>
          <w:rFonts w:cs="Tahoma"/>
          <w:sz w:val="16"/>
          <w:szCs w:val="16"/>
          <w:lang w:val="mk-MK"/>
        </w:rPr>
        <w:t>ценовни</w:t>
      </w:r>
      <w:proofErr w:type="spellEnd"/>
      <w:r w:rsidRPr="00DF7C2F">
        <w:rPr>
          <w:rFonts w:cs="Tahoma"/>
          <w:sz w:val="16"/>
          <w:szCs w:val="16"/>
          <w:lang w:val="mk-MK"/>
        </w:rPr>
        <w:t xml:space="preserve"> притисоци како резултат на намалената понуда од Србија на регионалните пазари.</w:t>
      </w:r>
      <w:r>
        <w:rPr>
          <w:rFonts w:cs="Tahoma"/>
          <w:sz w:val="16"/>
          <w:szCs w:val="16"/>
          <w:lang w:val="mk-MK"/>
        </w:rPr>
        <w:t xml:space="preserve"> </w:t>
      </w:r>
      <w:proofErr w:type="spellStart"/>
      <w:r w:rsidRPr="00DF7C2F">
        <w:rPr>
          <w:rFonts w:cs="Tahoma"/>
          <w:sz w:val="16"/>
          <w:szCs w:val="16"/>
        </w:rPr>
        <w:t>Извор</w:t>
      </w:r>
      <w:proofErr w:type="spellEnd"/>
      <w:r w:rsidRPr="00DF7C2F">
        <w:rPr>
          <w:rFonts w:cs="Tahoma"/>
          <w:sz w:val="16"/>
          <w:szCs w:val="16"/>
        </w:rPr>
        <w:t xml:space="preserve">: FAO GIEWS Country Brief on Serbia, </w:t>
      </w:r>
      <w:hyperlink r:id="rId2" w:history="1">
        <w:r w:rsidRPr="00DF7C2F">
          <w:rPr>
            <w:rStyle w:val="Hyperlink"/>
            <w:rFonts w:cs="Tahoma"/>
            <w:sz w:val="16"/>
            <w:szCs w:val="16"/>
          </w:rPr>
          <w:t>http://www.fao.org/giews/countrybrief/country.jsp?code=SRB</w:t>
        </w:r>
      </w:hyperlink>
      <w:r w:rsidRPr="00DF7C2F">
        <w:rPr>
          <w:rFonts w:cs="Tahoma"/>
          <w:sz w:val="16"/>
          <w:szCs w:val="16"/>
        </w:rPr>
        <w:t>,</w:t>
      </w:r>
      <w:r>
        <w:rPr>
          <w:rFonts w:cs="Tahoma"/>
          <w:sz w:val="16"/>
          <w:szCs w:val="16"/>
          <w:lang w:val="mk-MK"/>
        </w:rPr>
        <w:t xml:space="preserve"> </w:t>
      </w:r>
      <w:r w:rsidRPr="00DF7C2F">
        <w:rPr>
          <w:rFonts w:cs="Tahoma"/>
          <w:sz w:val="16"/>
          <w:szCs w:val="16"/>
        </w:rPr>
        <w:t xml:space="preserve">28 </w:t>
      </w:r>
      <w:proofErr w:type="spellStart"/>
      <w:r w:rsidRPr="00DF7C2F">
        <w:rPr>
          <w:rFonts w:cs="Tahoma"/>
          <w:sz w:val="16"/>
          <w:szCs w:val="16"/>
        </w:rPr>
        <w:t>мај</w:t>
      </w:r>
      <w:proofErr w:type="spellEnd"/>
      <w:r w:rsidRPr="00DF7C2F">
        <w:rPr>
          <w:rFonts w:cs="Tahoma"/>
          <w:sz w:val="16"/>
          <w:szCs w:val="16"/>
        </w:rPr>
        <w:t xml:space="preserve"> 2014 </w:t>
      </w:r>
      <w:proofErr w:type="spellStart"/>
      <w:r w:rsidRPr="00DF7C2F">
        <w:rPr>
          <w:rFonts w:cs="Tahoma"/>
          <w:sz w:val="16"/>
          <w:szCs w:val="16"/>
        </w:rPr>
        <w:t>година</w:t>
      </w:r>
      <w:proofErr w:type="spellEnd"/>
      <w:r>
        <w:rPr>
          <w:rFonts w:cs="Tahoma"/>
          <w:sz w:val="16"/>
          <w:szCs w:val="16"/>
          <w:lang w:val="mk-MK"/>
        </w:rPr>
        <w:t xml:space="preserve">. </w:t>
      </w:r>
    </w:p>
    <w:p w:rsidR="006629DA" w:rsidRDefault="006629DA" w:rsidP="00A64392">
      <w:pPr>
        <w:pStyle w:val="FootnoteText"/>
        <w:spacing w:after="0" w:line="240" w:lineRule="auto"/>
        <w:jc w:val="both"/>
        <w:rPr>
          <w:rFonts w:cs="Tahoma"/>
          <w:sz w:val="16"/>
          <w:szCs w:val="16"/>
          <w:lang w:val="mk-MK"/>
        </w:rPr>
      </w:pPr>
      <w:r>
        <w:rPr>
          <w:rFonts w:cs="Tahoma"/>
          <w:sz w:val="16"/>
          <w:szCs w:val="16"/>
          <w:lang w:val="mk-MK"/>
        </w:rPr>
        <w:t xml:space="preserve">Како дополнителни притисоци предизвикани од поплавите и влажното време во регионот се наведуваат и намалениот квалитет на пченицата, што создава нагорни притисоци врз цената на брашното. </w:t>
      </w:r>
    </w:p>
    <w:p w:rsidR="006629DA" w:rsidRPr="001B7663" w:rsidRDefault="006629DA" w:rsidP="00A64392">
      <w:pPr>
        <w:pStyle w:val="FootnoteText"/>
        <w:spacing w:after="0" w:line="240" w:lineRule="auto"/>
        <w:jc w:val="both"/>
        <w:rPr>
          <w:rFonts w:cs="Tahoma"/>
          <w:sz w:val="16"/>
          <w:szCs w:val="16"/>
          <w:lang w:val="mk-MK"/>
        </w:rPr>
      </w:pPr>
      <w:r>
        <w:rPr>
          <w:rFonts w:cs="Tahoma"/>
          <w:sz w:val="16"/>
          <w:szCs w:val="16"/>
          <w:lang w:val="mk-MK"/>
        </w:rPr>
        <w:t xml:space="preserve">Невремето коешто го зафати ресенскиот регион во втората половина на јули, според првичните </w:t>
      </w:r>
      <w:proofErr w:type="spellStart"/>
      <w:r>
        <w:rPr>
          <w:rFonts w:cs="Tahoma"/>
          <w:sz w:val="16"/>
          <w:szCs w:val="16"/>
          <w:lang w:val="mk-MK"/>
        </w:rPr>
        <w:t>проценки</w:t>
      </w:r>
      <w:proofErr w:type="spellEnd"/>
      <w:r>
        <w:rPr>
          <w:rFonts w:cs="Tahoma"/>
          <w:sz w:val="16"/>
          <w:szCs w:val="16"/>
          <w:lang w:val="mk-MK"/>
        </w:rPr>
        <w:t xml:space="preserve">, има уништено околу 3.000 хектари овошни насади, што претставува нагорен </w:t>
      </w:r>
      <w:proofErr w:type="spellStart"/>
      <w:r>
        <w:rPr>
          <w:rFonts w:cs="Tahoma"/>
          <w:sz w:val="16"/>
          <w:szCs w:val="16"/>
          <w:lang w:val="mk-MK"/>
        </w:rPr>
        <w:t>ценовен</w:t>
      </w:r>
      <w:proofErr w:type="spellEnd"/>
      <w:r>
        <w:rPr>
          <w:rFonts w:cs="Tahoma"/>
          <w:sz w:val="16"/>
          <w:szCs w:val="16"/>
          <w:lang w:val="mk-MK"/>
        </w:rPr>
        <w:t xml:space="preserve"> ризик.</w:t>
      </w:r>
    </w:p>
  </w:footnote>
  <w:footnote w:id="8">
    <w:p w:rsidR="006629DA" w:rsidRPr="00803006" w:rsidRDefault="006629DA" w:rsidP="00333C39">
      <w:pPr>
        <w:pStyle w:val="FootnoteText"/>
        <w:rPr>
          <w:rFonts w:cs="Tahoma"/>
          <w:lang w:val="mk-MK"/>
        </w:rPr>
      </w:pPr>
      <w:r w:rsidRPr="00803006">
        <w:rPr>
          <w:rStyle w:val="FootnoteReference"/>
          <w:rFonts w:cs="Tahoma"/>
          <w:sz w:val="16"/>
        </w:rPr>
        <w:footnoteRef/>
      </w:r>
      <w:r w:rsidRPr="00803006">
        <w:rPr>
          <w:rFonts w:cs="Tahoma"/>
          <w:sz w:val="16"/>
        </w:rPr>
        <w:t xml:space="preserve"> </w:t>
      </w:r>
      <w:proofErr w:type="spellStart"/>
      <w:r w:rsidRPr="00803006">
        <w:rPr>
          <w:rFonts w:cs="Tahoma"/>
          <w:sz w:val="16"/>
        </w:rPr>
        <w:t>Од</w:t>
      </w:r>
      <w:proofErr w:type="spellEnd"/>
      <w:r w:rsidRPr="00803006">
        <w:rPr>
          <w:rFonts w:cs="Tahoma"/>
          <w:sz w:val="16"/>
        </w:rPr>
        <w:t xml:space="preserve"> </w:t>
      </w:r>
      <w:proofErr w:type="spellStart"/>
      <w:r w:rsidRPr="00803006">
        <w:rPr>
          <w:rFonts w:cs="Tahoma"/>
          <w:sz w:val="16"/>
        </w:rPr>
        <w:t>Анкетата</w:t>
      </w:r>
      <w:proofErr w:type="spellEnd"/>
      <w:r w:rsidRPr="00803006">
        <w:rPr>
          <w:rFonts w:cs="Tahoma"/>
          <w:sz w:val="16"/>
        </w:rPr>
        <w:t xml:space="preserve"> </w:t>
      </w:r>
      <w:proofErr w:type="spellStart"/>
      <w:r w:rsidRPr="00803006">
        <w:rPr>
          <w:rFonts w:cs="Tahoma"/>
          <w:sz w:val="16"/>
        </w:rPr>
        <w:t>за</w:t>
      </w:r>
      <w:proofErr w:type="spellEnd"/>
      <w:r w:rsidRPr="00803006">
        <w:rPr>
          <w:rFonts w:cs="Tahoma"/>
          <w:sz w:val="16"/>
        </w:rPr>
        <w:t xml:space="preserve"> </w:t>
      </w:r>
      <w:proofErr w:type="spellStart"/>
      <w:r w:rsidRPr="00803006">
        <w:rPr>
          <w:rFonts w:cs="Tahoma"/>
          <w:sz w:val="16"/>
        </w:rPr>
        <w:t>деловните</w:t>
      </w:r>
      <w:proofErr w:type="spellEnd"/>
      <w:r w:rsidRPr="00803006">
        <w:rPr>
          <w:rFonts w:cs="Tahoma"/>
          <w:sz w:val="16"/>
        </w:rPr>
        <w:t xml:space="preserve"> </w:t>
      </w:r>
      <w:proofErr w:type="spellStart"/>
      <w:r w:rsidRPr="00803006">
        <w:rPr>
          <w:rFonts w:cs="Tahoma"/>
          <w:sz w:val="16"/>
        </w:rPr>
        <w:t>тенденции</w:t>
      </w:r>
      <w:proofErr w:type="spellEnd"/>
      <w:r w:rsidRPr="00803006">
        <w:rPr>
          <w:rFonts w:cs="Tahoma"/>
          <w:sz w:val="16"/>
        </w:rPr>
        <w:t xml:space="preserve"> </w:t>
      </w:r>
      <w:proofErr w:type="spellStart"/>
      <w:r w:rsidRPr="00803006">
        <w:rPr>
          <w:rFonts w:cs="Tahoma"/>
          <w:sz w:val="16"/>
        </w:rPr>
        <w:t>во</w:t>
      </w:r>
      <w:proofErr w:type="spellEnd"/>
      <w:r w:rsidRPr="00803006">
        <w:rPr>
          <w:rFonts w:cs="Tahoma"/>
          <w:sz w:val="16"/>
        </w:rPr>
        <w:t xml:space="preserve"> </w:t>
      </w:r>
      <w:proofErr w:type="spellStart"/>
      <w:r w:rsidRPr="00803006">
        <w:rPr>
          <w:rFonts w:cs="Tahoma"/>
          <w:sz w:val="16"/>
        </w:rPr>
        <w:t>преработувачката</w:t>
      </w:r>
      <w:proofErr w:type="spellEnd"/>
      <w:r w:rsidRPr="00803006">
        <w:rPr>
          <w:rFonts w:cs="Tahoma"/>
          <w:sz w:val="16"/>
        </w:rPr>
        <w:t xml:space="preserve"> </w:t>
      </w:r>
      <w:proofErr w:type="spellStart"/>
      <w:r w:rsidRPr="00803006">
        <w:rPr>
          <w:rFonts w:cs="Tahoma"/>
          <w:sz w:val="16"/>
        </w:rPr>
        <w:t>индустрија</w:t>
      </w:r>
      <w:proofErr w:type="spellEnd"/>
      <w:r w:rsidRPr="00803006">
        <w:rPr>
          <w:rFonts w:cs="Tahoma"/>
          <w:sz w:val="16"/>
        </w:rPr>
        <w:t xml:space="preserve"> </w:t>
      </w:r>
      <w:proofErr w:type="spellStart"/>
      <w:r w:rsidRPr="00803006">
        <w:rPr>
          <w:rFonts w:cs="Tahoma"/>
          <w:sz w:val="16"/>
        </w:rPr>
        <w:t>на</w:t>
      </w:r>
      <w:proofErr w:type="spellEnd"/>
      <w:r w:rsidRPr="00803006">
        <w:rPr>
          <w:rFonts w:cs="Tahoma"/>
          <w:sz w:val="16"/>
        </w:rPr>
        <w:t xml:space="preserve"> ДЗС.</w:t>
      </w:r>
    </w:p>
  </w:footnote>
  <w:footnote w:id="9">
    <w:p w:rsidR="006629DA" w:rsidRPr="00FD029D" w:rsidRDefault="006629DA">
      <w:pPr>
        <w:pStyle w:val="FootnoteText"/>
        <w:rPr>
          <w:lang w:val="mk-MK"/>
        </w:rPr>
      </w:pPr>
      <w:r>
        <w:rPr>
          <w:rStyle w:val="FootnoteReference"/>
        </w:rPr>
        <w:footnoteRef/>
      </w:r>
      <w:r>
        <w:t xml:space="preserve"> </w:t>
      </w:r>
      <w:r w:rsidRPr="00FD029D">
        <w:rPr>
          <w:rFonts w:cs="Tahoma"/>
          <w:sz w:val="16"/>
          <w:szCs w:val="16"/>
          <w:lang w:val="mk-MK"/>
        </w:rPr>
        <w:t>Поголем дел од овие средства се однесуваат на расходи</w:t>
      </w:r>
      <w:r>
        <w:rPr>
          <w:rFonts w:cs="Tahoma"/>
          <w:sz w:val="16"/>
          <w:szCs w:val="16"/>
          <w:lang w:val="mk-MK"/>
        </w:rPr>
        <w:t>те</w:t>
      </w:r>
      <w:r w:rsidRPr="00FD029D">
        <w:rPr>
          <w:rFonts w:cs="Tahoma"/>
          <w:sz w:val="16"/>
          <w:szCs w:val="16"/>
          <w:lang w:val="mk-MK"/>
        </w:rPr>
        <w:t xml:space="preserve"> за стоки и услуги.</w:t>
      </w:r>
    </w:p>
  </w:footnote>
  <w:footnote w:id="10">
    <w:p w:rsidR="006629DA" w:rsidRPr="004D4CBE" w:rsidRDefault="006629DA" w:rsidP="00B35F92">
      <w:pPr>
        <w:pStyle w:val="FootnoteText"/>
        <w:jc w:val="both"/>
        <w:rPr>
          <w:rFonts w:cs="Tahoma"/>
          <w:sz w:val="16"/>
          <w:szCs w:val="16"/>
          <w:lang w:val="mk-MK"/>
        </w:rPr>
      </w:pPr>
      <w:r w:rsidRPr="00E83BB3">
        <w:rPr>
          <w:rStyle w:val="FootnoteReference"/>
          <w:rFonts w:cs="Tahoma"/>
          <w:sz w:val="18"/>
          <w:szCs w:val="18"/>
        </w:rPr>
        <w:footnoteRef/>
      </w:r>
      <w:r w:rsidRPr="00E83BB3">
        <w:rPr>
          <w:rFonts w:cs="Tahoma"/>
          <w:sz w:val="18"/>
          <w:szCs w:val="18"/>
        </w:rPr>
        <w:t xml:space="preserve"> </w:t>
      </w:r>
      <w:r w:rsidRPr="004D4CBE">
        <w:rPr>
          <w:rFonts w:cs="Tahoma"/>
          <w:sz w:val="16"/>
          <w:szCs w:val="16"/>
          <w:lang w:val="mk-MK"/>
        </w:rPr>
        <w:t>Примарни производи исклучени од пресметката се: нафтата и нафтените деривати, железото и челикот, рудите и увозните суровини за новите индустриски капацитети во слободните економски зони.</w:t>
      </w:r>
    </w:p>
  </w:footnote>
  <w:footnote w:id="11">
    <w:p w:rsidR="006629DA" w:rsidRPr="00CC6C84" w:rsidRDefault="006629DA" w:rsidP="00A50833">
      <w:pPr>
        <w:pStyle w:val="FootnoteText"/>
        <w:spacing w:after="0"/>
        <w:jc w:val="both"/>
        <w:rPr>
          <w:sz w:val="16"/>
          <w:szCs w:val="16"/>
          <w:lang w:val="mk-MK"/>
        </w:rPr>
      </w:pPr>
      <w:r w:rsidRPr="00CC6C84">
        <w:rPr>
          <w:rStyle w:val="FootnoteReference"/>
          <w:sz w:val="16"/>
          <w:szCs w:val="16"/>
        </w:rPr>
        <w:footnoteRef/>
      </w:r>
      <w:r w:rsidRPr="00CC6C84">
        <w:rPr>
          <w:sz w:val="16"/>
          <w:szCs w:val="16"/>
        </w:rPr>
        <w:t xml:space="preserve"> </w:t>
      </w:r>
      <w:r w:rsidRPr="00CC6C84">
        <w:rPr>
          <w:rFonts w:cs="Tahoma"/>
          <w:sz w:val="16"/>
          <w:szCs w:val="16"/>
          <w:lang w:val="mk-MK"/>
        </w:rPr>
        <w:t>Дефицитот кај салдото на услуги во април</w:t>
      </w:r>
      <w:r>
        <w:rPr>
          <w:rFonts w:cs="Tahoma"/>
          <w:sz w:val="16"/>
          <w:szCs w:val="16"/>
          <w:lang w:val="mk-MK"/>
        </w:rPr>
        <w:t xml:space="preserve"> и мај</w:t>
      </w:r>
      <w:r w:rsidRPr="00CC6C84">
        <w:rPr>
          <w:rFonts w:cs="Tahoma"/>
          <w:sz w:val="16"/>
          <w:szCs w:val="16"/>
          <w:lang w:val="mk-MK"/>
        </w:rPr>
        <w:t xml:space="preserve"> се должи на високите одливи кај градежните услуги</w:t>
      </w:r>
      <w:r>
        <w:rPr>
          <w:rFonts w:cs="Tahoma"/>
          <w:sz w:val="16"/>
          <w:szCs w:val="16"/>
        </w:rPr>
        <w:t xml:space="preserve">, </w:t>
      </w:r>
      <w:r w:rsidRPr="00A50833">
        <w:rPr>
          <w:rFonts w:cs="Tahoma"/>
          <w:sz w:val="16"/>
          <w:szCs w:val="16"/>
          <w:lang w:val="mk-MK"/>
        </w:rPr>
        <w:t>остварени врз основа на аванси за градежни работи поврзани со проектите за изградба на автопатите</w:t>
      </w:r>
      <w:r>
        <w:rPr>
          <w:rFonts w:cs="Tahoma"/>
          <w:sz w:val="16"/>
          <w:szCs w:val="16"/>
          <w:lang w:val="mk-MK"/>
        </w:rPr>
        <w:t>.</w:t>
      </w:r>
      <w:r w:rsidRPr="00CC6C84">
        <w:rPr>
          <w:rFonts w:cs="Tahoma"/>
          <w:sz w:val="16"/>
          <w:szCs w:val="16"/>
          <w:lang w:val="mk-MK"/>
        </w:rPr>
        <w:t xml:space="preserve"> </w:t>
      </w:r>
      <w:r>
        <w:rPr>
          <w:rFonts w:cs="Tahoma"/>
          <w:sz w:val="16"/>
          <w:szCs w:val="16"/>
          <w:lang w:val="mk-MK"/>
        </w:rPr>
        <w:t>Истовремено, во текот на април</w:t>
      </w:r>
      <w:r>
        <w:rPr>
          <w:rFonts w:cs="Tahoma"/>
          <w:sz w:val="16"/>
          <w:szCs w:val="16"/>
        </w:rPr>
        <w:t xml:space="preserve">, </w:t>
      </w:r>
      <w:r>
        <w:rPr>
          <w:rFonts w:cs="Tahoma"/>
          <w:sz w:val="16"/>
          <w:szCs w:val="16"/>
          <w:lang w:val="mk-MK"/>
        </w:rPr>
        <w:t xml:space="preserve">во рамките на капиталната и финансиската сметка, беа регистрирани приливи врз основа на задолжување од странство, за финансирање на патна инфраструктура, во истиот износ на одливите остварени кај услугите, со што </w:t>
      </w:r>
      <w:proofErr w:type="spellStart"/>
      <w:r>
        <w:rPr>
          <w:rFonts w:cs="Tahoma"/>
          <w:sz w:val="16"/>
          <w:szCs w:val="16"/>
          <w:lang w:val="mk-MK"/>
        </w:rPr>
        <w:t>нето-ефектот</w:t>
      </w:r>
      <w:proofErr w:type="spellEnd"/>
      <w:r>
        <w:rPr>
          <w:rFonts w:cs="Tahoma"/>
          <w:sz w:val="16"/>
          <w:szCs w:val="16"/>
          <w:lang w:val="mk-MK"/>
        </w:rPr>
        <w:t xml:space="preserve"> врз билансот на плаќања во периодот </w:t>
      </w:r>
      <w:proofErr w:type="spellStart"/>
      <w:r>
        <w:rPr>
          <w:rFonts w:cs="Tahoma"/>
          <w:sz w:val="16"/>
          <w:szCs w:val="16"/>
          <w:lang w:val="mk-MK"/>
        </w:rPr>
        <w:t>април-мај</w:t>
      </w:r>
      <w:proofErr w:type="spellEnd"/>
      <w:r>
        <w:rPr>
          <w:rFonts w:cs="Tahoma"/>
          <w:sz w:val="16"/>
          <w:szCs w:val="16"/>
          <w:lang w:val="mk-MK"/>
        </w:rPr>
        <w:t xml:space="preserve"> е неутрален. </w:t>
      </w:r>
    </w:p>
  </w:footnote>
  <w:footnote w:id="12">
    <w:p w:rsidR="006629DA" w:rsidRPr="00B60F5A" w:rsidRDefault="006629DA" w:rsidP="00B418CE">
      <w:pPr>
        <w:pStyle w:val="FootnoteText"/>
        <w:spacing w:after="0"/>
        <w:jc w:val="both"/>
        <w:rPr>
          <w:sz w:val="16"/>
          <w:szCs w:val="16"/>
          <w:lang w:val="mk-MK"/>
        </w:rPr>
      </w:pPr>
      <w:r w:rsidRPr="00B60F5A">
        <w:rPr>
          <w:rStyle w:val="FootnoteReference"/>
          <w:sz w:val="16"/>
          <w:szCs w:val="16"/>
        </w:rPr>
        <w:footnoteRef/>
      </w:r>
      <w:r w:rsidRPr="00B60F5A">
        <w:rPr>
          <w:sz w:val="16"/>
          <w:szCs w:val="16"/>
        </w:rPr>
        <w:t xml:space="preserve"> </w:t>
      </w:r>
      <w:r w:rsidRPr="00B60F5A">
        <w:rPr>
          <w:sz w:val="16"/>
          <w:szCs w:val="16"/>
          <w:lang w:val="mk-MK"/>
        </w:rPr>
        <w:t xml:space="preserve">Во текот на јуни државата се задолжи на меѓународните финансиски пазари преку издавање седумгодишна </w:t>
      </w:r>
      <w:proofErr w:type="spellStart"/>
      <w:r w:rsidRPr="00B60F5A">
        <w:rPr>
          <w:sz w:val="16"/>
          <w:szCs w:val="16"/>
          <w:lang w:val="mk-MK"/>
        </w:rPr>
        <w:t>евро-обврзница</w:t>
      </w:r>
      <w:proofErr w:type="spellEnd"/>
      <w:r w:rsidRPr="00B60F5A">
        <w:rPr>
          <w:sz w:val="16"/>
          <w:szCs w:val="16"/>
          <w:lang w:val="mk-MK"/>
        </w:rPr>
        <w:t xml:space="preserve"> во износ од 500 милиони евра.</w:t>
      </w:r>
    </w:p>
  </w:footnote>
  <w:footnote w:id="13">
    <w:p w:rsidR="006629DA" w:rsidRPr="002959F5" w:rsidRDefault="006629DA" w:rsidP="00922F62">
      <w:pPr>
        <w:pStyle w:val="FootnoteText"/>
        <w:jc w:val="both"/>
        <w:rPr>
          <w:sz w:val="16"/>
          <w:szCs w:val="16"/>
          <w:lang w:val="mk-MK"/>
        </w:rPr>
      </w:pPr>
      <w:r w:rsidRPr="002959F5">
        <w:rPr>
          <w:rStyle w:val="FootnoteReference"/>
          <w:sz w:val="16"/>
          <w:szCs w:val="16"/>
          <w:lang w:val="mk-MK"/>
        </w:rPr>
        <w:footnoteRef/>
      </w:r>
      <w:r w:rsidRPr="002959F5">
        <w:rPr>
          <w:sz w:val="16"/>
          <w:szCs w:val="16"/>
          <w:lang w:val="mk-MK"/>
        </w:rPr>
        <w:t xml:space="preserve"> Регистрирани високи одливи од девизните депозити на претпријатијата во април 2013 година, главно заради исплата на дивидендата на една компанија. Во 2014 година е исплатен помал износ на дивиденда (повторно во април) и тоа главно преку денарските депозити на претпријатијата.</w:t>
      </w:r>
    </w:p>
  </w:footnote>
  <w:footnote w:id="14">
    <w:p w:rsidR="006629DA" w:rsidRPr="00FD029D" w:rsidRDefault="006629DA">
      <w:pPr>
        <w:pStyle w:val="FootnoteText"/>
        <w:rPr>
          <w:rFonts w:cs="Tahoma"/>
          <w:sz w:val="16"/>
          <w:szCs w:val="16"/>
          <w:lang w:val="mk-MK"/>
        </w:rPr>
      </w:pPr>
      <w:r w:rsidRPr="00FD029D">
        <w:rPr>
          <w:rStyle w:val="FootnoteReference"/>
          <w:rFonts w:cs="Tahoma"/>
          <w:sz w:val="16"/>
          <w:szCs w:val="16"/>
        </w:rPr>
        <w:footnoteRef/>
      </w:r>
      <w:r w:rsidRPr="00FD029D">
        <w:rPr>
          <w:rFonts w:cs="Tahoma"/>
          <w:sz w:val="16"/>
          <w:szCs w:val="16"/>
        </w:rPr>
        <w:t xml:space="preserve"> </w:t>
      </w:r>
      <w:r w:rsidRPr="00FD029D">
        <w:rPr>
          <w:rFonts w:cs="Tahoma"/>
          <w:sz w:val="16"/>
          <w:szCs w:val="16"/>
          <w:lang w:val="mk-MK"/>
        </w:rPr>
        <w:t>Показателот се однесува на вкупните кредити кон финансиски</w:t>
      </w:r>
      <w:r>
        <w:rPr>
          <w:rFonts w:cs="Tahoma"/>
          <w:sz w:val="16"/>
          <w:szCs w:val="16"/>
          <w:lang w:val="mk-MK"/>
        </w:rPr>
        <w:t>от</w:t>
      </w:r>
      <w:r w:rsidRPr="00FD029D">
        <w:rPr>
          <w:rFonts w:cs="Tahoma"/>
          <w:sz w:val="16"/>
          <w:szCs w:val="16"/>
          <w:lang w:val="mk-MK"/>
        </w:rPr>
        <w:t xml:space="preserve"> и </w:t>
      </w:r>
      <w:proofErr w:type="spellStart"/>
      <w:r w:rsidRPr="00FD029D">
        <w:rPr>
          <w:rFonts w:cs="Tahoma"/>
          <w:sz w:val="16"/>
          <w:szCs w:val="16"/>
          <w:lang w:val="mk-MK"/>
        </w:rPr>
        <w:t>нефинансиски</w:t>
      </w:r>
      <w:r>
        <w:rPr>
          <w:rFonts w:cs="Tahoma"/>
          <w:sz w:val="16"/>
          <w:szCs w:val="16"/>
          <w:lang w:val="mk-MK"/>
        </w:rPr>
        <w:t>от</w:t>
      </w:r>
      <w:proofErr w:type="spellEnd"/>
      <w:r w:rsidRPr="00FD029D">
        <w:rPr>
          <w:rFonts w:cs="Tahoma"/>
          <w:sz w:val="16"/>
          <w:szCs w:val="16"/>
          <w:lang w:val="mk-MK"/>
        </w:rPr>
        <w:t xml:space="preserve"> сектор.</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Default="007234CB">
    <w:pPr>
      <w:pStyle w:val="Header"/>
    </w:pPr>
    <w:r>
      <w:rPr>
        <w:noProof/>
        <w:lang w:val="en-US"/>
      </w:rPr>
      <w:pict>
        <v:shapetype id="_x0000_t202" coordsize="21600,21600" o:spt="202" path="m,l,21600r21600,l21600,xe">
          <v:stroke joinstyle="miter"/>
          <v:path gradientshapeok="t" o:connecttype="rect"/>
        </v:shapetype>
        <v:shape id="Text Box 3" o:spid="_x0000_s12293" type="#_x0000_t202" style="position:absolute;margin-left:-38.5pt;margin-top:-18.3pt;width:528pt;height:39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" fillcolor="#4f81bd" stroked="f" strokeweight="0">
          <v:fill color2="#365e8f" focusposition=".5,.5" focussize="" focus="100%" type="gradientRadial"/>
          <v:shadow on="t" color="#243f60" offset="1pt"/>
          <v:textbox>
            <w:txbxContent>
              <w:p w:rsidR="006629DA" w:rsidRPr="0032374C" w:rsidRDefault="006629DA" w:rsidP="00647835">
                <w:pPr>
                  <w:jc w:val="center"/>
                  <w:rPr>
                    <w:rFonts w:ascii="Tahoma" w:hAnsi="Tahoma"/>
                    <w:b/>
                    <w:color w:val="FFFFFF"/>
                  </w:rPr>
                </w:pPr>
                <w:r>
                  <w:rPr>
                    <w:rFonts w:ascii="Tahoma" w:hAnsi="Tahoma"/>
                    <w:b/>
                    <w:color w:val="FFFFFF"/>
                    <w:sz w:val="24"/>
                  </w:rPr>
                  <w:t>НАДВОРЕШНО ОКРУЖУВАЊЕ</w:t>
                </w:r>
              </w:p>
              <w:p w:rsidR="006629DA" w:rsidRPr="00C95A38" w:rsidRDefault="006629DA" w:rsidP="00647835"/>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Default="007234CB">
    <w:pPr>
      <w:pStyle w:val="Header"/>
    </w:pPr>
    <w:r>
      <w:rPr>
        <w:noProof/>
        <w:lang w:val="en-US"/>
      </w:rPr>
      <w:pict>
        <v:shapetype id="_x0000_t202" coordsize="21600,21600" o:spt="202" path="m,l,21600r21600,l21600,xe">
          <v:stroke joinstyle="miter"/>
          <v:path gradientshapeok="t" o:connecttype="rect"/>
        </v:shapetype>
        <v:shape id="Text Box 1" o:spid="_x0000_s12292" type="#_x0000_t202" style="position:absolute;margin-left:-38.5pt;margin-top:-18.3pt;width:528pt;height:39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" fillcolor="#4f81bd" stroked="f" strokeweight="0">
          <v:fill color2="#365e8f" focusposition=".5,.5" focussize="" focus="100%" type="gradientRadial"/>
          <v:shadow on="t" color="#243f60" offset="1pt"/>
          <v:textbox>
            <w:txbxContent>
              <w:p w:rsidR="006629DA" w:rsidRPr="0032374C" w:rsidRDefault="006629DA" w:rsidP="00AB00F4">
                <w:pPr>
                  <w:jc w:val="center"/>
                  <w:rPr>
                    <w:rFonts w:ascii="Tahoma" w:hAnsi="Tahoma"/>
                    <w:b/>
                    <w:color w:val="FFFFFF"/>
                  </w:rPr>
                </w:pPr>
                <w:r>
                  <w:rPr>
                    <w:rFonts w:ascii="Tahoma" w:hAnsi="Tahoma"/>
                    <w:b/>
                    <w:color w:val="FFFFFF"/>
                    <w:sz w:val="24"/>
                  </w:rPr>
                  <w:t>НАДВОРЕШНО ОКРУЖУВАЊЕ</w:t>
                </w:r>
              </w:p>
              <w:p w:rsidR="006629DA" w:rsidRPr="00C95A38" w:rsidRDefault="006629DA" w:rsidP="00AB00F4"/>
            </w:txbxContent>
          </v:textbox>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Default="007234CB">
    <w:pPr>
      <w:pStyle w:val="Header"/>
    </w:pPr>
    <w:r>
      <w:rPr>
        <w:noProof/>
        <w:lang w:val="en-US"/>
      </w:rPr>
      <w:pict>
        <v:shapetype id="_x0000_t202" coordsize="21600,21600" o:spt="202" path="m,l,21600r21600,l21600,xe">
          <v:stroke joinstyle="miter"/>
          <v:path gradientshapeok="t" o:connecttype="rect"/>
        </v:shapetype>
        <v:shape id="Text Box 5" o:spid="_x0000_s12291" type="#_x0000_t202" style="position:absolute;margin-left:-5.5pt;margin-top:-18pt;width:532.9pt;height:39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" fillcolor="#4f81bd" stroked="f" strokeweight="0">
          <v:fill color2="#365e8f" focusposition=".5,.5" focussize="" focus="100%" type="gradientRadial"/>
          <v:shadow on="t" color="#243f60" offset="1pt"/>
          <v:textbox>
            <w:txbxContent>
              <w:p w:rsidR="006629DA" w:rsidRPr="0032374C" w:rsidRDefault="006629DA" w:rsidP="0032374C">
                <w:pPr>
                  <w:jc w:val="center"/>
                  <w:rPr>
                    <w:rFonts w:ascii="Tahoma" w:hAnsi="Tahoma"/>
                    <w:b/>
                    <w:color w:val="FFFFFF"/>
                  </w:rPr>
                </w:pPr>
                <w:r>
                  <w:rPr>
                    <w:rFonts w:ascii="Tahoma" w:hAnsi="Tahoma"/>
                    <w:b/>
                    <w:color w:val="FFFFFF"/>
                    <w:sz w:val="24"/>
                  </w:rPr>
                  <w:t>РЕАЛЕН СЕКТОР</w:t>
                </w:r>
                <w:r w:rsidRPr="0032374C">
                  <w:rPr>
                    <w:rFonts w:ascii="Tahoma" w:hAnsi="Tahoma"/>
                    <w:b/>
                    <w:color w:val="FFFFFF"/>
                    <w:sz w:val="24"/>
                  </w:rPr>
                  <w:t xml:space="preserve">  </w:t>
                </w:r>
              </w:p>
            </w:txbxContent>
          </v:textbox>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Default="007234CB">
    <w:pPr>
      <w:pStyle w:val="Header"/>
    </w:pPr>
    <w:r>
      <w:rPr>
        <w:noProof/>
        <w:lang w:val="en-US"/>
      </w:rPr>
      <w:pict>
        <v:shapetype id="_x0000_t202" coordsize="21600,21600" o:spt="202" path="m,l,21600r21600,l21600,xe">
          <v:stroke joinstyle="miter"/>
          <v:path gradientshapeok="t" o:connecttype="rect"/>
        </v:shapetype>
        <v:shape id="Text Box 2" o:spid="_x0000_s12290" type="#_x0000_t202" style="position:absolute;margin-left:-5.5pt;margin-top:-18pt;width:532.9pt;height:45.75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" fillcolor="#003c6a" stroked="f" strokeweight="0">
          <v:fill color2="#005390" focusposition=".5,.5" focussize="" focus="100%" type="gradientRadial"/>
          <v:shadow on="t" color="#002947" offset="1pt"/>
          <v:textbox>
            <w:txbxContent>
              <w:p w:rsidR="006629DA" w:rsidRDefault="006629DA" w:rsidP="00A52B52">
                <w:pPr>
                  <w:jc w:val="center"/>
                  <w:rPr>
                    <w:rFonts w:ascii="Tahoma" w:hAnsi="Tahoma"/>
                    <w:b/>
                  </w:rPr>
                </w:pPr>
              </w:p>
              <w:p w:rsidR="006629DA" w:rsidRPr="0032374C" w:rsidRDefault="006629DA" w:rsidP="00A52B52">
                <w:pPr>
                  <w:jc w:val="center"/>
                  <w:rPr>
                    <w:rFonts w:ascii="Tahoma" w:hAnsi="Tahoma"/>
                    <w:b/>
                    <w:color w:val="FFFFFF"/>
                  </w:rPr>
                </w:pPr>
                <w:r>
                  <w:rPr>
                    <w:rFonts w:ascii="Tahoma" w:hAnsi="Tahoma"/>
                    <w:b/>
                    <w:color w:val="FFFFFF"/>
                    <w:sz w:val="24"/>
                  </w:rPr>
                  <w:t>НАДВОРЕШЕН СЕКТОР</w:t>
                </w:r>
              </w:p>
              <w:p w:rsidR="006629DA" w:rsidRPr="008E1893" w:rsidRDefault="006629DA" w:rsidP="00A52B52">
                <w:pPr>
                  <w:jc w:val="center"/>
                  <w:rPr>
                    <w:rFonts w:ascii="Tahoma" w:hAnsi="Tahoma"/>
                    <w:b/>
                  </w:rPr>
                </w:pPr>
              </w:p>
            </w:txbxContent>
          </v:textbox>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29DA" w:rsidRDefault="007234CB">
    <w:pPr>
      <w:pStyle w:val="Header"/>
    </w:pPr>
    <w:r>
      <w:rPr>
        <w:noProof/>
        <w:lang w:val="en-US"/>
      </w:rPr>
      <w:pict>
        <v:shapetype id="_x0000_t202" coordsize="21600,21600" o:spt="202" path="m,l,21600r21600,l21600,xe">
          <v:stroke joinstyle="miter"/>
          <v:path gradientshapeok="t" o:connecttype="rect"/>
        </v:shapetype>
        <v:shape id="_x0000_s12289" type="#_x0000_t202" style="position:absolute;margin-left:2pt;margin-top:-20.25pt;width:532.9pt;height:45.75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" fillcolor="#003c6a" stroked="f" strokeweight="0">
          <v:fill color2="#005390" focusposition=".5,.5" focussize="" focus="100%" type="gradientRadial"/>
          <v:shadow on="t" color="#002947" offset="1pt"/>
          <v:textbox>
            <w:txbxContent>
              <w:p w:rsidR="006629DA" w:rsidRDefault="006629DA" w:rsidP="00F24CC7">
                <w:pPr>
                  <w:jc w:val="center"/>
                  <w:rPr>
                    <w:rFonts w:ascii="Tahoma" w:hAnsi="Tahoma"/>
                    <w:b/>
                  </w:rPr>
                </w:pPr>
              </w:p>
              <w:p w:rsidR="006629DA" w:rsidRPr="0032374C" w:rsidRDefault="006629DA" w:rsidP="00F24CC7">
                <w:pPr>
                  <w:jc w:val="center"/>
                  <w:rPr>
                    <w:rFonts w:ascii="Tahoma" w:hAnsi="Tahoma"/>
                    <w:b/>
                    <w:color w:val="FFFFFF"/>
                  </w:rPr>
                </w:pPr>
                <w:r>
                  <w:rPr>
                    <w:rFonts w:ascii="Tahoma" w:hAnsi="Tahoma"/>
                    <w:b/>
                    <w:color w:val="FFFFFF"/>
                    <w:sz w:val="24"/>
                  </w:rPr>
                  <w:t>МОНЕТАРЕН СЕКТОР</w:t>
                </w:r>
              </w:p>
              <w:p w:rsidR="006629DA" w:rsidRPr="008E1893" w:rsidRDefault="006629DA" w:rsidP="00F24CC7">
                <w:pPr>
                  <w:jc w:val="center"/>
                  <w:rPr>
                    <w:rFonts w:ascii="Tahoma" w:hAnsi="Tahoma"/>
                    <w:b/>
                  </w:rPr>
                </w:pPr>
              </w:p>
            </w:txbxContent>
          </v:textbox>
        </v:shape>
      </w:pict>
    </w:r>
    <w:r w:rsidR="006629DA">
      <w:t xml:space="preserve">   </w:t>
    </w:r>
  </w:p>
  <w:p w:rsidR="006629DA" w:rsidRDefault="006629DA">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BC5" w:rsidRDefault="00C03BC5">
    <w:pPr>
      <w:pStyle w:val="Header"/>
    </w:pPr>
    <w:r>
      <w:t xml:space="preserve">   </w:t>
    </w:r>
  </w:p>
  <w:p w:rsidR="00C03BC5" w:rsidRDefault="00C03BC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607C3"/>
    <w:multiLevelType w:val="hybridMultilevel"/>
    <w:tmpl w:val="6486D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9F75BA"/>
    <w:multiLevelType w:val="hybridMultilevel"/>
    <w:tmpl w:val="FE940CA6"/>
    <w:lvl w:ilvl="0" w:tplc="52BA3636">
      <w:start w:val="1"/>
      <w:numFmt w:val="decimal"/>
      <w:pStyle w:val="Heading"/>
      <w:lvlText w:val="%1."/>
      <w:lvlJc w:val="left"/>
      <w:pPr>
        <w:ind w:left="786" w:hanging="360"/>
      </w:pPr>
      <w:rPr>
        <w:rFonts w:ascii="MAC C Times" w:hAnsi="MAC C Times" w:hint="default"/>
      </w:r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2">
    <w:nsid w:val="17210AC3"/>
    <w:multiLevelType w:val="hybridMultilevel"/>
    <w:tmpl w:val="FF1C9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971264"/>
    <w:multiLevelType w:val="hybridMultilevel"/>
    <w:tmpl w:val="9B406D4E"/>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
    <w:nsid w:val="55B9526F"/>
    <w:multiLevelType w:val="hybridMultilevel"/>
    <w:tmpl w:val="6782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proofState w:spelling="clean"/>
  <w:defaultTabStop w:val="720"/>
  <w:drawingGridHorizontalSpacing w:val="110"/>
  <w:drawingGridVerticalSpacing w:val="181"/>
  <w:displayHorizontalDrawingGridEvery w:val="2"/>
  <w:characterSpacingControl w:val="doNotCompress"/>
  <w:hdrShapeDefaults>
    <o:shapedefaults v:ext="edit" spidmax="13314"/>
    <o:shapelayout v:ext="edit">
      <o:idmap v:ext="edit" data="12"/>
    </o:shapelayout>
  </w:hdrShapeDefaults>
  <w:footnotePr>
    <w:footnote w:id="-1"/>
    <w:footnote w:id="0"/>
  </w:footnotePr>
  <w:endnotePr>
    <w:endnote w:id="-1"/>
    <w:endnote w:id="0"/>
  </w:endnotePr>
  <w:compat/>
  <w:rsids>
    <w:rsidRoot w:val="00B83077"/>
    <w:rsid w:val="000007B9"/>
    <w:rsid w:val="00001629"/>
    <w:rsid w:val="0000186B"/>
    <w:rsid w:val="00001C9B"/>
    <w:rsid w:val="00002217"/>
    <w:rsid w:val="0000242F"/>
    <w:rsid w:val="00002E65"/>
    <w:rsid w:val="000052AD"/>
    <w:rsid w:val="0000556D"/>
    <w:rsid w:val="00005A1A"/>
    <w:rsid w:val="00007100"/>
    <w:rsid w:val="00007DEB"/>
    <w:rsid w:val="00010577"/>
    <w:rsid w:val="000108AA"/>
    <w:rsid w:val="00011FF8"/>
    <w:rsid w:val="00014761"/>
    <w:rsid w:val="000164C0"/>
    <w:rsid w:val="00016B62"/>
    <w:rsid w:val="00016CD6"/>
    <w:rsid w:val="0001726A"/>
    <w:rsid w:val="000176C6"/>
    <w:rsid w:val="000177BD"/>
    <w:rsid w:val="0002166A"/>
    <w:rsid w:val="00021DA4"/>
    <w:rsid w:val="00023D20"/>
    <w:rsid w:val="00023EA6"/>
    <w:rsid w:val="00033F27"/>
    <w:rsid w:val="00034D1C"/>
    <w:rsid w:val="00035A66"/>
    <w:rsid w:val="00036983"/>
    <w:rsid w:val="00040FE6"/>
    <w:rsid w:val="00043141"/>
    <w:rsid w:val="00043680"/>
    <w:rsid w:val="000436ED"/>
    <w:rsid w:val="00045B61"/>
    <w:rsid w:val="00046515"/>
    <w:rsid w:val="00046793"/>
    <w:rsid w:val="00046ED8"/>
    <w:rsid w:val="00047032"/>
    <w:rsid w:val="0005058D"/>
    <w:rsid w:val="00050C83"/>
    <w:rsid w:val="000520C2"/>
    <w:rsid w:val="000528D3"/>
    <w:rsid w:val="00053D01"/>
    <w:rsid w:val="000602DD"/>
    <w:rsid w:val="00063C77"/>
    <w:rsid w:val="00063F00"/>
    <w:rsid w:val="000644CA"/>
    <w:rsid w:val="000652EE"/>
    <w:rsid w:val="000653C3"/>
    <w:rsid w:val="00065996"/>
    <w:rsid w:val="00066532"/>
    <w:rsid w:val="00066E8F"/>
    <w:rsid w:val="000675F9"/>
    <w:rsid w:val="00072848"/>
    <w:rsid w:val="00072B57"/>
    <w:rsid w:val="00073AA5"/>
    <w:rsid w:val="000744B9"/>
    <w:rsid w:val="00074A8E"/>
    <w:rsid w:val="000752A5"/>
    <w:rsid w:val="00075BB8"/>
    <w:rsid w:val="00077B44"/>
    <w:rsid w:val="00077C4A"/>
    <w:rsid w:val="00080037"/>
    <w:rsid w:val="00081809"/>
    <w:rsid w:val="00082116"/>
    <w:rsid w:val="00082470"/>
    <w:rsid w:val="000837F9"/>
    <w:rsid w:val="00083880"/>
    <w:rsid w:val="00084840"/>
    <w:rsid w:val="0008512B"/>
    <w:rsid w:val="00087812"/>
    <w:rsid w:val="0009159D"/>
    <w:rsid w:val="00092F09"/>
    <w:rsid w:val="00093C8C"/>
    <w:rsid w:val="00094143"/>
    <w:rsid w:val="000959E0"/>
    <w:rsid w:val="00095DC8"/>
    <w:rsid w:val="000962D8"/>
    <w:rsid w:val="00096FDD"/>
    <w:rsid w:val="00097321"/>
    <w:rsid w:val="0009772D"/>
    <w:rsid w:val="000A0F2A"/>
    <w:rsid w:val="000A1656"/>
    <w:rsid w:val="000A1BF7"/>
    <w:rsid w:val="000A4F15"/>
    <w:rsid w:val="000A5C9D"/>
    <w:rsid w:val="000A7561"/>
    <w:rsid w:val="000A7D72"/>
    <w:rsid w:val="000B1253"/>
    <w:rsid w:val="000B30F3"/>
    <w:rsid w:val="000B44D9"/>
    <w:rsid w:val="000B663C"/>
    <w:rsid w:val="000B7E98"/>
    <w:rsid w:val="000C05F7"/>
    <w:rsid w:val="000C1755"/>
    <w:rsid w:val="000C2D21"/>
    <w:rsid w:val="000C3446"/>
    <w:rsid w:val="000C3BF6"/>
    <w:rsid w:val="000C453F"/>
    <w:rsid w:val="000C6798"/>
    <w:rsid w:val="000C7052"/>
    <w:rsid w:val="000D005B"/>
    <w:rsid w:val="000D038E"/>
    <w:rsid w:val="000D108F"/>
    <w:rsid w:val="000D15DA"/>
    <w:rsid w:val="000D2F6B"/>
    <w:rsid w:val="000D6CF0"/>
    <w:rsid w:val="000E1136"/>
    <w:rsid w:val="000E1497"/>
    <w:rsid w:val="000E3F8B"/>
    <w:rsid w:val="000E5541"/>
    <w:rsid w:val="000E6FB8"/>
    <w:rsid w:val="000E73DF"/>
    <w:rsid w:val="000F2FDD"/>
    <w:rsid w:val="000F303B"/>
    <w:rsid w:val="000F36AA"/>
    <w:rsid w:val="000F3FF3"/>
    <w:rsid w:val="000F4795"/>
    <w:rsid w:val="000F5FD2"/>
    <w:rsid w:val="000F60EF"/>
    <w:rsid w:val="000F67E4"/>
    <w:rsid w:val="000F7106"/>
    <w:rsid w:val="000F7F16"/>
    <w:rsid w:val="001012C6"/>
    <w:rsid w:val="00101361"/>
    <w:rsid w:val="001018CB"/>
    <w:rsid w:val="00101B0A"/>
    <w:rsid w:val="00101E49"/>
    <w:rsid w:val="00102D54"/>
    <w:rsid w:val="0010332B"/>
    <w:rsid w:val="0010375C"/>
    <w:rsid w:val="00103B08"/>
    <w:rsid w:val="00104A4F"/>
    <w:rsid w:val="00104BC7"/>
    <w:rsid w:val="00107362"/>
    <w:rsid w:val="001077EC"/>
    <w:rsid w:val="001078A9"/>
    <w:rsid w:val="00107C53"/>
    <w:rsid w:val="00114542"/>
    <w:rsid w:val="00114DB7"/>
    <w:rsid w:val="0011757B"/>
    <w:rsid w:val="00117F91"/>
    <w:rsid w:val="00120BA9"/>
    <w:rsid w:val="001212A0"/>
    <w:rsid w:val="001245F9"/>
    <w:rsid w:val="0012597C"/>
    <w:rsid w:val="00127519"/>
    <w:rsid w:val="0012770B"/>
    <w:rsid w:val="001304D6"/>
    <w:rsid w:val="00132849"/>
    <w:rsid w:val="00132D29"/>
    <w:rsid w:val="0013351E"/>
    <w:rsid w:val="001339AB"/>
    <w:rsid w:val="00134FC8"/>
    <w:rsid w:val="00135680"/>
    <w:rsid w:val="00137A18"/>
    <w:rsid w:val="001401EA"/>
    <w:rsid w:val="001401EE"/>
    <w:rsid w:val="00140227"/>
    <w:rsid w:val="0014085E"/>
    <w:rsid w:val="0014343D"/>
    <w:rsid w:val="00143B1D"/>
    <w:rsid w:val="00144004"/>
    <w:rsid w:val="001440A4"/>
    <w:rsid w:val="0014530B"/>
    <w:rsid w:val="0014574D"/>
    <w:rsid w:val="00145941"/>
    <w:rsid w:val="001516D8"/>
    <w:rsid w:val="001518FC"/>
    <w:rsid w:val="0015226C"/>
    <w:rsid w:val="00152567"/>
    <w:rsid w:val="00152F49"/>
    <w:rsid w:val="00153583"/>
    <w:rsid w:val="00154701"/>
    <w:rsid w:val="0015648F"/>
    <w:rsid w:val="00156F65"/>
    <w:rsid w:val="0015768D"/>
    <w:rsid w:val="001610EB"/>
    <w:rsid w:val="00163313"/>
    <w:rsid w:val="001637D7"/>
    <w:rsid w:val="00163CD9"/>
    <w:rsid w:val="001641C2"/>
    <w:rsid w:val="00164C6A"/>
    <w:rsid w:val="00167318"/>
    <w:rsid w:val="001677E7"/>
    <w:rsid w:val="00167D3F"/>
    <w:rsid w:val="00167D61"/>
    <w:rsid w:val="00167F96"/>
    <w:rsid w:val="00170FC8"/>
    <w:rsid w:val="00171CEC"/>
    <w:rsid w:val="00172C5F"/>
    <w:rsid w:val="001748EA"/>
    <w:rsid w:val="0017609A"/>
    <w:rsid w:val="001763FD"/>
    <w:rsid w:val="001769C1"/>
    <w:rsid w:val="0018163F"/>
    <w:rsid w:val="00182DC4"/>
    <w:rsid w:val="0018349D"/>
    <w:rsid w:val="001835AC"/>
    <w:rsid w:val="00183953"/>
    <w:rsid w:val="00183FA3"/>
    <w:rsid w:val="00185CF1"/>
    <w:rsid w:val="00186B5C"/>
    <w:rsid w:val="00187723"/>
    <w:rsid w:val="00191CA4"/>
    <w:rsid w:val="0019289D"/>
    <w:rsid w:val="00194429"/>
    <w:rsid w:val="00197AB2"/>
    <w:rsid w:val="00197E60"/>
    <w:rsid w:val="001A0554"/>
    <w:rsid w:val="001A1A02"/>
    <w:rsid w:val="001A2246"/>
    <w:rsid w:val="001A2671"/>
    <w:rsid w:val="001A2BD3"/>
    <w:rsid w:val="001A4C51"/>
    <w:rsid w:val="001A5DD2"/>
    <w:rsid w:val="001A6383"/>
    <w:rsid w:val="001A6C3B"/>
    <w:rsid w:val="001A7894"/>
    <w:rsid w:val="001B18CF"/>
    <w:rsid w:val="001B190F"/>
    <w:rsid w:val="001B2373"/>
    <w:rsid w:val="001B2BD8"/>
    <w:rsid w:val="001B370E"/>
    <w:rsid w:val="001B42A8"/>
    <w:rsid w:val="001B4882"/>
    <w:rsid w:val="001B6264"/>
    <w:rsid w:val="001B66D4"/>
    <w:rsid w:val="001C0F91"/>
    <w:rsid w:val="001C0FE6"/>
    <w:rsid w:val="001C1164"/>
    <w:rsid w:val="001C131D"/>
    <w:rsid w:val="001C3BA5"/>
    <w:rsid w:val="001C3CCB"/>
    <w:rsid w:val="001C49C7"/>
    <w:rsid w:val="001C5AE5"/>
    <w:rsid w:val="001C5B8A"/>
    <w:rsid w:val="001C5E2F"/>
    <w:rsid w:val="001D0863"/>
    <w:rsid w:val="001D1A33"/>
    <w:rsid w:val="001D2561"/>
    <w:rsid w:val="001D4A2F"/>
    <w:rsid w:val="001D6050"/>
    <w:rsid w:val="001D6744"/>
    <w:rsid w:val="001D717A"/>
    <w:rsid w:val="001E1A1C"/>
    <w:rsid w:val="001E2AC7"/>
    <w:rsid w:val="001E2EE5"/>
    <w:rsid w:val="001E3141"/>
    <w:rsid w:val="001E693C"/>
    <w:rsid w:val="001E6D1B"/>
    <w:rsid w:val="001E7035"/>
    <w:rsid w:val="001E74E6"/>
    <w:rsid w:val="001F022A"/>
    <w:rsid w:val="001F134C"/>
    <w:rsid w:val="001F29EE"/>
    <w:rsid w:val="001F3493"/>
    <w:rsid w:val="001F56BA"/>
    <w:rsid w:val="001F6E65"/>
    <w:rsid w:val="001F7627"/>
    <w:rsid w:val="00200682"/>
    <w:rsid w:val="00206FFB"/>
    <w:rsid w:val="0020701C"/>
    <w:rsid w:val="002114AD"/>
    <w:rsid w:val="00211AEF"/>
    <w:rsid w:val="00213E6B"/>
    <w:rsid w:val="002151D8"/>
    <w:rsid w:val="00215E25"/>
    <w:rsid w:val="00216D86"/>
    <w:rsid w:val="0022046E"/>
    <w:rsid w:val="00220E09"/>
    <w:rsid w:val="00220E5E"/>
    <w:rsid w:val="0022137E"/>
    <w:rsid w:val="00221B9C"/>
    <w:rsid w:val="00221C48"/>
    <w:rsid w:val="00222079"/>
    <w:rsid w:val="0022217F"/>
    <w:rsid w:val="002228B7"/>
    <w:rsid w:val="002241E3"/>
    <w:rsid w:val="00224EF0"/>
    <w:rsid w:val="0022542F"/>
    <w:rsid w:val="00230B35"/>
    <w:rsid w:val="00231184"/>
    <w:rsid w:val="00231286"/>
    <w:rsid w:val="0023512F"/>
    <w:rsid w:val="002353E7"/>
    <w:rsid w:val="002355D9"/>
    <w:rsid w:val="00236AE9"/>
    <w:rsid w:val="002378F0"/>
    <w:rsid w:val="00240444"/>
    <w:rsid w:val="00242ECF"/>
    <w:rsid w:val="0024404B"/>
    <w:rsid w:val="00246890"/>
    <w:rsid w:val="00246975"/>
    <w:rsid w:val="0024784B"/>
    <w:rsid w:val="00251DA8"/>
    <w:rsid w:val="002540A3"/>
    <w:rsid w:val="00254FD2"/>
    <w:rsid w:val="00255E00"/>
    <w:rsid w:val="00256164"/>
    <w:rsid w:val="00256512"/>
    <w:rsid w:val="0026128A"/>
    <w:rsid w:val="00262E64"/>
    <w:rsid w:val="00263B21"/>
    <w:rsid w:val="002656BA"/>
    <w:rsid w:val="00265A5C"/>
    <w:rsid w:val="00266366"/>
    <w:rsid w:val="00270144"/>
    <w:rsid w:val="00271037"/>
    <w:rsid w:val="002712D3"/>
    <w:rsid w:val="0027194F"/>
    <w:rsid w:val="00271F29"/>
    <w:rsid w:val="00272F1D"/>
    <w:rsid w:val="00274454"/>
    <w:rsid w:val="00274AE3"/>
    <w:rsid w:val="0027757C"/>
    <w:rsid w:val="002778AB"/>
    <w:rsid w:val="00277D14"/>
    <w:rsid w:val="00280F4D"/>
    <w:rsid w:val="00281290"/>
    <w:rsid w:val="002824A7"/>
    <w:rsid w:val="00282E9E"/>
    <w:rsid w:val="00284BC5"/>
    <w:rsid w:val="0028551F"/>
    <w:rsid w:val="00285AA8"/>
    <w:rsid w:val="00286247"/>
    <w:rsid w:val="00287D6D"/>
    <w:rsid w:val="00290BDA"/>
    <w:rsid w:val="0029129B"/>
    <w:rsid w:val="002929C6"/>
    <w:rsid w:val="00292FFE"/>
    <w:rsid w:val="0029383D"/>
    <w:rsid w:val="00295746"/>
    <w:rsid w:val="002959F5"/>
    <w:rsid w:val="002967C8"/>
    <w:rsid w:val="00297518"/>
    <w:rsid w:val="00297779"/>
    <w:rsid w:val="002A02A4"/>
    <w:rsid w:val="002A0930"/>
    <w:rsid w:val="002A15B3"/>
    <w:rsid w:val="002A6480"/>
    <w:rsid w:val="002A64C2"/>
    <w:rsid w:val="002A6B61"/>
    <w:rsid w:val="002A7A96"/>
    <w:rsid w:val="002B3607"/>
    <w:rsid w:val="002B48E8"/>
    <w:rsid w:val="002B6386"/>
    <w:rsid w:val="002B66DA"/>
    <w:rsid w:val="002C0139"/>
    <w:rsid w:val="002C1CF5"/>
    <w:rsid w:val="002C1F4C"/>
    <w:rsid w:val="002C2CB6"/>
    <w:rsid w:val="002C78A0"/>
    <w:rsid w:val="002D19DF"/>
    <w:rsid w:val="002D19E2"/>
    <w:rsid w:val="002D2624"/>
    <w:rsid w:val="002D3AFC"/>
    <w:rsid w:val="002D3EB9"/>
    <w:rsid w:val="002D4644"/>
    <w:rsid w:val="002D5556"/>
    <w:rsid w:val="002D790E"/>
    <w:rsid w:val="002E0E9E"/>
    <w:rsid w:val="002E29DF"/>
    <w:rsid w:val="002E2F0B"/>
    <w:rsid w:val="002E49B4"/>
    <w:rsid w:val="002E500F"/>
    <w:rsid w:val="002F02B6"/>
    <w:rsid w:val="002F04B0"/>
    <w:rsid w:val="002F0A8D"/>
    <w:rsid w:val="002F0E70"/>
    <w:rsid w:val="002F1495"/>
    <w:rsid w:val="002F1846"/>
    <w:rsid w:val="002F22CC"/>
    <w:rsid w:val="002F3FB0"/>
    <w:rsid w:val="002F54E0"/>
    <w:rsid w:val="002F6118"/>
    <w:rsid w:val="002F6CA1"/>
    <w:rsid w:val="002F7126"/>
    <w:rsid w:val="002F7C93"/>
    <w:rsid w:val="0030224D"/>
    <w:rsid w:val="003031D7"/>
    <w:rsid w:val="003041BA"/>
    <w:rsid w:val="0030563C"/>
    <w:rsid w:val="0030596D"/>
    <w:rsid w:val="00306EB7"/>
    <w:rsid w:val="00307299"/>
    <w:rsid w:val="00310FB4"/>
    <w:rsid w:val="00312135"/>
    <w:rsid w:val="00313252"/>
    <w:rsid w:val="00317AAB"/>
    <w:rsid w:val="00317D29"/>
    <w:rsid w:val="003210AE"/>
    <w:rsid w:val="003210D1"/>
    <w:rsid w:val="003218D6"/>
    <w:rsid w:val="00322123"/>
    <w:rsid w:val="00322AF5"/>
    <w:rsid w:val="0032374C"/>
    <w:rsid w:val="00324459"/>
    <w:rsid w:val="00324806"/>
    <w:rsid w:val="003257ED"/>
    <w:rsid w:val="00327D97"/>
    <w:rsid w:val="0033083B"/>
    <w:rsid w:val="00333C39"/>
    <w:rsid w:val="00333DAD"/>
    <w:rsid w:val="00334214"/>
    <w:rsid w:val="003344DE"/>
    <w:rsid w:val="003356AE"/>
    <w:rsid w:val="00335700"/>
    <w:rsid w:val="003357C1"/>
    <w:rsid w:val="00335A74"/>
    <w:rsid w:val="003370CF"/>
    <w:rsid w:val="00337C23"/>
    <w:rsid w:val="0034134D"/>
    <w:rsid w:val="0034257F"/>
    <w:rsid w:val="00342A07"/>
    <w:rsid w:val="00345303"/>
    <w:rsid w:val="0034613D"/>
    <w:rsid w:val="00346BF6"/>
    <w:rsid w:val="00350C1E"/>
    <w:rsid w:val="00351969"/>
    <w:rsid w:val="0035310F"/>
    <w:rsid w:val="003548DC"/>
    <w:rsid w:val="003556FA"/>
    <w:rsid w:val="0035571E"/>
    <w:rsid w:val="00356211"/>
    <w:rsid w:val="003578EA"/>
    <w:rsid w:val="00357A7E"/>
    <w:rsid w:val="00362151"/>
    <w:rsid w:val="00362E34"/>
    <w:rsid w:val="00363DBB"/>
    <w:rsid w:val="00367187"/>
    <w:rsid w:val="00367360"/>
    <w:rsid w:val="00370F06"/>
    <w:rsid w:val="003710B1"/>
    <w:rsid w:val="00371385"/>
    <w:rsid w:val="00372ADA"/>
    <w:rsid w:val="00373F7E"/>
    <w:rsid w:val="00374408"/>
    <w:rsid w:val="00380084"/>
    <w:rsid w:val="003807CF"/>
    <w:rsid w:val="00380EB4"/>
    <w:rsid w:val="003821E6"/>
    <w:rsid w:val="003841E5"/>
    <w:rsid w:val="00386F88"/>
    <w:rsid w:val="003907EF"/>
    <w:rsid w:val="00393788"/>
    <w:rsid w:val="0039398F"/>
    <w:rsid w:val="00394344"/>
    <w:rsid w:val="00394567"/>
    <w:rsid w:val="00395110"/>
    <w:rsid w:val="003963E1"/>
    <w:rsid w:val="003974AB"/>
    <w:rsid w:val="00397922"/>
    <w:rsid w:val="003A1023"/>
    <w:rsid w:val="003A1EF8"/>
    <w:rsid w:val="003A352A"/>
    <w:rsid w:val="003A35C2"/>
    <w:rsid w:val="003A42B7"/>
    <w:rsid w:val="003A54D2"/>
    <w:rsid w:val="003A5CB2"/>
    <w:rsid w:val="003B0634"/>
    <w:rsid w:val="003B0837"/>
    <w:rsid w:val="003B0B0C"/>
    <w:rsid w:val="003B253A"/>
    <w:rsid w:val="003B354C"/>
    <w:rsid w:val="003B3A4B"/>
    <w:rsid w:val="003B4960"/>
    <w:rsid w:val="003B5019"/>
    <w:rsid w:val="003B5143"/>
    <w:rsid w:val="003B5DB7"/>
    <w:rsid w:val="003B61F1"/>
    <w:rsid w:val="003B6820"/>
    <w:rsid w:val="003B7C49"/>
    <w:rsid w:val="003C1919"/>
    <w:rsid w:val="003C29B8"/>
    <w:rsid w:val="003C6F19"/>
    <w:rsid w:val="003C77CB"/>
    <w:rsid w:val="003D051A"/>
    <w:rsid w:val="003D05C0"/>
    <w:rsid w:val="003D07BC"/>
    <w:rsid w:val="003D1281"/>
    <w:rsid w:val="003D1CB2"/>
    <w:rsid w:val="003D1ECF"/>
    <w:rsid w:val="003D2176"/>
    <w:rsid w:val="003D2227"/>
    <w:rsid w:val="003D2971"/>
    <w:rsid w:val="003D2B04"/>
    <w:rsid w:val="003D4AE5"/>
    <w:rsid w:val="003D5862"/>
    <w:rsid w:val="003D5C89"/>
    <w:rsid w:val="003D5FEA"/>
    <w:rsid w:val="003E0594"/>
    <w:rsid w:val="003E0D2F"/>
    <w:rsid w:val="003E252C"/>
    <w:rsid w:val="003E2968"/>
    <w:rsid w:val="003E398C"/>
    <w:rsid w:val="003E4D0D"/>
    <w:rsid w:val="003E4DFE"/>
    <w:rsid w:val="003E4F23"/>
    <w:rsid w:val="003E5265"/>
    <w:rsid w:val="003F04EA"/>
    <w:rsid w:val="003F071F"/>
    <w:rsid w:val="003F13BA"/>
    <w:rsid w:val="003F2328"/>
    <w:rsid w:val="003F757A"/>
    <w:rsid w:val="003F7964"/>
    <w:rsid w:val="00401F77"/>
    <w:rsid w:val="004061EE"/>
    <w:rsid w:val="00410151"/>
    <w:rsid w:val="00410867"/>
    <w:rsid w:val="0041194A"/>
    <w:rsid w:val="00413EDA"/>
    <w:rsid w:val="00415C0B"/>
    <w:rsid w:val="004218BA"/>
    <w:rsid w:val="004221C8"/>
    <w:rsid w:val="0042270B"/>
    <w:rsid w:val="00422711"/>
    <w:rsid w:val="00425EDF"/>
    <w:rsid w:val="0042667E"/>
    <w:rsid w:val="00426E94"/>
    <w:rsid w:val="0042741B"/>
    <w:rsid w:val="00427BC2"/>
    <w:rsid w:val="00431353"/>
    <w:rsid w:val="00432763"/>
    <w:rsid w:val="0043411A"/>
    <w:rsid w:val="004364B1"/>
    <w:rsid w:val="0043674E"/>
    <w:rsid w:val="004375E7"/>
    <w:rsid w:val="00440C89"/>
    <w:rsid w:val="004410B4"/>
    <w:rsid w:val="00441564"/>
    <w:rsid w:val="00441898"/>
    <w:rsid w:val="0044262E"/>
    <w:rsid w:val="00442C28"/>
    <w:rsid w:val="0044778C"/>
    <w:rsid w:val="00452990"/>
    <w:rsid w:val="0045433A"/>
    <w:rsid w:val="00454608"/>
    <w:rsid w:val="00454C70"/>
    <w:rsid w:val="00456B90"/>
    <w:rsid w:val="00457446"/>
    <w:rsid w:val="00457715"/>
    <w:rsid w:val="00457E4F"/>
    <w:rsid w:val="0046011B"/>
    <w:rsid w:val="00460758"/>
    <w:rsid w:val="00461F5A"/>
    <w:rsid w:val="004626EB"/>
    <w:rsid w:val="004647D8"/>
    <w:rsid w:val="004654FC"/>
    <w:rsid w:val="004663DC"/>
    <w:rsid w:val="00466C7B"/>
    <w:rsid w:val="004678E1"/>
    <w:rsid w:val="004707ED"/>
    <w:rsid w:val="004726AE"/>
    <w:rsid w:val="00472E08"/>
    <w:rsid w:val="00474D17"/>
    <w:rsid w:val="0047569D"/>
    <w:rsid w:val="00475D6C"/>
    <w:rsid w:val="0047601C"/>
    <w:rsid w:val="00476053"/>
    <w:rsid w:val="00476F86"/>
    <w:rsid w:val="004774DF"/>
    <w:rsid w:val="00477793"/>
    <w:rsid w:val="004778D7"/>
    <w:rsid w:val="00477F60"/>
    <w:rsid w:val="00481020"/>
    <w:rsid w:val="00483452"/>
    <w:rsid w:val="004842D0"/>
    <w:rsid w:val="004862EE"/>
    <w:rsid w:val="0049125B"/>
    <w:rsid w:val="00491B0C"/>
    <w:rsid w:val="00496389"/>
    <w:rsid w:val="00496C90"/>
    <w:rsid w:val="00497F0F"/>
    <w:rsid w:val="004A030E"/>
    <w:rsid w:val="004A06B1"/>
    <w:rsid w:val="004A11BC"/>
    <w:rsid w:val="004A26E4"/>
    <w:rsid w:val="004A2D6D"/>
    <w:rsid w:val="004A2FBE"/>
    <w:rsid w:val="004A4155"/>
    <w:rsid w:val="004A4444"/>
    <w:rsid w:val="004A5CC3"/>
    <w:rsid w:val="004A600D"/>
    <w:rsid w:val="004A71D5"/>
    <w:rsid w:val="004B0B4E"/>
    <w:rsid w:val="004B113A"/>
    <w:rsid w:val="004B2EA0"/>
    <w:rsid w:val="004B3A9C"/>
    <w:rsid w:val="004B460E"/>
    <w:rsid w:val="004B47D6"/>
    <w:rsid w:val="004B50D4"/>
    <w:rsid w:val="004B5747"/>
    <w:rsid w:val="004B6199"/>
    <w:rsid w:val="004B7C6B"/>
    <w:rsid w:val="004C0899"/>
    <w:rsid w:val="004C0923"/>
    <w:rsid w:val="004C11DF"/>
    <w:rsid w:val="004C21B6"/>
    <w:rsid w:val="004C2B80"/>
    <w:rsid w:val="004C403C"/>
    <w:rsid w:val="004C40CF"/>
    <w:rsid w:val="004C54D8"/>
    <w:rsid w:val="004C5839"/>
    <w:rsid w:val="004C682C"/>
    <w:rsid w:val="004D0182"/>
    <w:rsid w:val="004D0670"/>
    <w:rsid w:val="004D1043"/>
    <w:rsid w:val="004D16A4"/>
    <w:rsid w:val="004D1E3C"/>
    <w:rsid w:val="004D3F8E"/>
    <w:rsid w:val="004D456A"/>
    <w:rsid w:val="004D466B"/>
    <w:rsid w:val="004D4CBE"/>
    <w:rsid w:val="004D4ED2"/>
    <w:rsid w:val="004D5C89"/>
    <w:rsid w:val="004E0B18"/>
    <w:rsid w:val="004E2A44"/>
    <w:rsid w:val="004E3769"/>
    <w:rsid w:val="004E576C"/>
    <w:rsid w:val="004E6989"/>
    <w:rsid w:val="004E6FC9"/>
    <w:rsid w:val="004E732B"/>
    <w:rsid w:val="004E79C6"/>
    <w:rsid w:val="004F0A42"/>
    <w:rsid w:val="004F34DC"/>
    <w:rsid w:val="004F4FC6"/>
    <w:rsid w:val="004F54C9"/>
    <w:rsid w:val="004F74DC"/>
    <w:rsid w:val="005006DD"/>
    <w:rsid w:val="005013FA"/>
    <w:rsid w:val="00501C99"/>
    <w:rsid w:val="005049B4"/>
    <w:rsid w:val="00505692"/>
    <w:rsid w:val="0050791E"/>
    <w:rsid w:val="00511D40"/>
    <w:rsid w:val="005120D6"/>
    <w:rsid w:val="00515DDB"/>
    <w:rsid w:val="0051724E"/>
    <w:rsid w:val="0051767D"/>
    <w:rsid w:val="00517CA3"/>
    <w:rsid w:val="005211BE"/>
    <w:rsid w:val="00523CC9"/>
    <w:rsid w:val="0052581D"/>
    <w:rsid w:val="0052632E"/>
    <w:rsid w:val="00526604"/>
    <w:rsid w:val="00526923"/>
    <w:rsid w:val="00530541"/>
    <w:rsid w:val="005308CC"/>
    <w:rsid w:val="00530ED8"/>
    <w:rsid w:val="00531DEA"/>
    <w:rsid w:val="005332FE"/>
    <w:rsid w:val="00533AA9"/>
    <w:rsid w:val="00535560"/>
    <w:rsid w:val="005401A0"/>
    <w:rsid w:val="00540C21"/>
    <w:rsid w:val="00541CD6"/>
    <w:rsid w:val="00542810"/>
    <w:rsid w:val="00543676"/>
    <w:rsid w:val="00544E18"/>
    <w:rsid w:val="00546F5C"/>
    <w:rsid w:val="00550037"/>
    <w:rsid w:val="005500C2"/>
    <w:rsid w:val="00550820"/>
    <w:rsid w:val="00553644"/>
    <w:rsid w:val="00554685"/>
    <w:rsid w:val="00554D87"/>
    <w:rsid w:val="00554E96"/>
    <w:rsid w:val="005576B3"/>
    <w:rsid w:val="00560F61"/>
    <w:rsid w:val="0056383F"/>
    <w:rsid w:val="0056587E"/>
    <w:rsid w:val="00565AA2"/>
    <w:rsid w:val="005667BA"/>
    <w:rsid w:val="00567248"/>
    <w:rsid w:val="005676C1"/>
    <w:rsid w:val="00570425"/>
    <w:rsid w:val="005706C0"/>
    <w:rsid w:val="005717A3"/>
    <w:rsid w:val="00572B74"/>
    <w:rsid w:val="00575B2B"/>
    <w:rsid w:val="005771E8"/>
    <w:rsid w:val="00581D2C"/>
    <w:rsid w:val="00582CEF"/>
    <w:rsid w:val="00584D5F"/>
    <w:rsid w:val="005858FF"/>
    <w:rsid w:val="0058711F"/>
    <w:rsid w:val="005874D5"/>
    <w:rsid w:val="00594898"/>
    <w:rsid w:val="00594CB9"/>
    <w:rsid w:val="00594F58"/>
    <w:rsid w:val="00595079"/>
    <w:rsid w:val="005954DB"/>
    <w:rsid w:val="0059651B"/>
    <w:rsid w:val="005A05A5"/>
    <w:rsid w:val="005A0D50"/>
    <w:rsid w:val="005A3CF1"/>
    <w:rsid w:val="005A444E"/>
    <w:rsid w:val="005B05C4"/>
    <w:rsid w:val="005B250D"/>
    <w:rsid w:val="005B714C"/>
    <w:rsid w:val="005B75BA"/>
    <w:rsid w:val="005B77F2"/>
    <w:rsid w:val="005C17F2"/>
    <w:rsid w:val="005C1EA7"/>
    <w:rsid w:val="005C2F17"/>
    <w:rsid w:val="005C39AE"/>
    <w:rsid w:val="005C3D5E"/>
    <w:rsid w:val="005C526F"/>
    <w:rsid w:val="005C619A"/>
    <w:rsid w:val="005D1800"/>
    <w:rsid w:val="005D51A8"/>
    <w:rsid w:val="005D6476"/>
    <w:rsid w:val="005D7635"/>
    <w:rsid w:val="005E0354"/>
    <w:rsid w:val="005E10A1"/>
    <w:rsid w:val="005E11C7"/>
    <w:rsid w:val="005E1DD1"/>
    <w:rsid w:val="005E3223"/>
    <w:rsid w:val="005E34F7"/>
    <w:rsid w:val="005E5150"/>
    <w:rsid w:val="005E5DA0"/>
    <w:rsid w:val="005E676F"/>
    <w:rsid w:val="005E6B28"/>
    <w:rsid w:val="005F0A86"/>
    <w:rsid w:val="005F0E84"/>
    <w:rsid w:val="005F1251"/>
    <w:rsid w:val="005F2829"/>
    <w:rsid w:val="005F4236"/>
    <w:rsid w:val="005F4B90"/>
    <w:rsid w:val="005F5977"/>
    <w:rsid w:val="005F6351"/>
    <w:rsid w:val="005F6DF0"/>
    <w:rsid w:val="005F70B7"/>
    <w:rsid w:val="00600329"/>
    <w:rsid w:val="00605BC0"/>
    <w:rsid w:val="00607729"/>
    <w:rsid w:val="00610013"/>
    <w:rsid w:val="00614C2F"/>
    <w:rsid w:val="00617DEF"/>
    <w:rsid w:val="006207ED"/>
    <w:rsid w:val="00620CD1"/>
    <w:rsid w:val="0062261F"/>
    <w:rsid w:val="0062304E"/>
    <w:rsid w:val="00623264"/>
    <w:rsid w:val="00623896"/>
    <w:rsid w:val="00624075"/>
    <w:rsid w:val="006243AE"/>
    <w:rsid w:val="00625705"/>
    <w:rsid w:val="00626157"/>
    <w:rsid w:val="0062626D"/>
    <w:rsid w:val="006274FB"/>
    <w:rsid w:val="00627AF1"/>
    <w:rsid w:val="00630676"/>
    <w:rsid w:val="00630F68"/>
    <w:rsid w:val="00631589"/>
    <w:rsid w:val="00631B71"/>
    <w:rsid w:val="006327C7"/>
    <w:rsid w:val="00634673"/>
    <w:rsid w:val="00635447"/>
    <w:rsid w:val="0063575D"/>
    <w:rsid w:val="00635794"/>
    <w:rsid w:val="00635ADE"/>
    <w:rsid w:val="00637A77"/>
    <w:rsid w:val="006427B5"/>
    <w:rsid w:val="00643D4E"/>
    <w:rsid w:val="00643F5D"/>
    <w:rsid w:val="00644BFE"/>
    <w:rsid w:val="00646F09"/>
    <w:rsid w:val="00647835"/>
    <w:rsid w:val="00647C2D"/>
    <w:rsid w:val="006500C9"/>
    <w:rsid w:val="0065080A"/>
    <w:rsid w:val="00650B6A"/>
    <w:rsid w:val="0065241D"/>
    <w:rsid w:val="00652CBC"/>
    <w:rsid w:val="0065374A"/>
    <w:rsid w:val="00653911"/>
    <w:rsid w:val="00655647"/>
    <w:rsid w:val="00655681"/>
    <w:rsid w:val="00656889"/>
    <w:rsid w:val="00657AEF"/>
    <w:rsid w:val="006609C3"/>
    <w:rsid w:val="0066207D"/>
    <w:rsid w:val="006629DA"/>
    <w:rsid w:val="006632E4"/>
    <w:rsid w:val="006633BE"/>
    <w:rsid w:val="00665B3C"/>
    <w:rsid w:val="00666E4F"/>
    <w:rsid w:val="00667541"/>
    <w:rsid w:val="00670CB7"/>
    <w:rsid w:val="00671077"/>
    <w:rsid w:val="006715EE"/>
    <w:rsid w:val="00672674"/>
    <w:rsid w:val="00673C23"/>
    <w:rsid w:val="00673F17"/>
    <w:rsid w:val="00674237"/>
    <w:rsid w:val="00674F24"/>
    <w:rsid w:val="006765C4"/>
    <w:rsid w:val="00676697"/>
    <w:rsid w:val="0067693C"/>
    <w:rsid w:val="006771F9"/>
    <w:rsid w:val="006779DE"/>
    <w:rsid w:val="006806CD"/>
    <w:rsid w:val="006810D8"/>
    <w:rsid w:val="0068251B"/>
    <w:rsid w:val="00683F99"/>
    <w:rsid w:val="00684332"/>
    <w:rsid w:val="00684E44"/>
    <w:rsid w:val="0068573E"/>
    <w:rsid w:val="00685E9C"/>
    <w:rsid w:val="00686C95"/>
    <w:rsid w:val="00687F19"/>
    <w:rsid w:val="00687F96"/>
    <w:rsid w:val="00690EA4"/>
    <w:rsid w:val="00691853"/>
    <w:rsid w:val="006929BA"/>
    <w:rsid w:val="00692E6E"/>
    <w:rsid w:val="00693083"/>
    <w:rsid w:val="006943DC"/>
    <w:rsid w:val="006948C0"/>
    <w:rsid w:val="0069601B"/>
    <w:rsid w:val="006962C2"/>
    <w:rsid w:val="00696921"/>
    <w:rsid w:val="006972F8"/>
    <w:rsid w:val="006A07A3"/>
    <w:rsid w:val="006A1A61"/>
    <w:rsid w:val="006A1FB1"/>
    <w:rsid w:val="006A2590"/>
    <w:rsid w:val="006A34DB"/>
    <w:rsid w:val="006A40DC"/>
    <w:rsid w:val="006A4843"/>
    <w:rsid w:val="006A623D"/>
    <w:rsid w:val="006A6B52"/>
    <w:rsid w:val="006A6D33"/>
    <w:rsid w:val="006A7B5C"/>
    <w:rsid w:val="006B0A7B"/>
    <w:rsid w:val="006B15C0"/>
    <w:rsid w:val="006B2177"/>
    <w:rsid w:val="006B476C"/>
    <w:rsid w:val="006B4CE3"/>
    <w:rsid w:val="006B51EF"/>
    <w:rsid w:val="006B5E63"/>
    <w:rsid w:val="006B758F"/>
    <w:rsid w:val="006B7B14"/>
    <w:rsid w:val="006C04AF"/>
    <w:rsid w:val="006C186A"/>
    <w:rsid w:val="006C1FC8"/>
    <w:rsid w:val="006C45A9"/>
    <w:rsid w:val="006C4B3B"/>
    <w:rsid w:val="006C4C15"/>
    <w:rsid w:val="006C4DFD"/>
    <w:rsid w:val="006C4E57"/>
    <w:rsid w:val="006C6F20"/>
    <w:rsid w:val="006C74F8"/>
    <w:rsid w:val="006C76C8"/>
    <w:rsid w:val="006D1A15"/>
    <w:rsid w:val="006D1AC7"/>
    <w:rsid w:val="006D288C"/>
    <w:rsid w:val="006D2A94"/>
    <w:rsid w:val="006D2F51"/>
    <w:rsid w:val="006D4C1B"/>
    <w:rsid w:val="006D4FB2"/>
    <w:rsid w:val="006D54F0"/>
    <w:rsid w:val="006D60B5"/>
    <w:rsid w:val="006D69C1"/>
    <w:rsid w:val="006D7B4A"/>
    <w:rsid w:val="006E0202"/>
    <w:rsid w:val="006E13EE"/>
    <w:rsid w:val="006E2736"/>
    <w:rsid w:val="006E35F3"/>
    <w:rsid w:val="006E3BAF"/>
    <w:rsid w:val="006E4078"/>
    <w:rsid w:val="006E4BB3"/>
    <w:rsid w:val="006E6F30"/>
    <w:rsid w:val="006F1BC8"/>
    <w:rsid w:val="006F27ED"/>
    <w:rsid w:val="006F3569"/>
    <w:rsid w:val="006F3703"/>
    <w:rsid w:val="0070098E"/>
    <w:rsid w:val="00700B75"/>
    <w:rsid w:val="0070200A"/>
    <w:rsid w:val="0070316B"/>
    <w:rsid w:val="00703863"/>
    <w:rsid w:val="00703D2D"/>
    <w:rsid w:val="00705581"/>
    <w:rsid w:val="007059BA"/>
    <w:rsid w:val="00707FE2"/>
    <w:rsid w:val="00712AC3"/>
    <w:rsid w:val="00712F80"/>
    <w:rsid w:val="0071424C"/>
    <w:rsid w:val="00714768"/>
    <w:rsid w:val="00714C6D"/>
    <w:rsid w:val="00714FA3"/>
    <w:rsid w:val="00714FC5"/>
    <w:rsid w:val="007150F9"/>
    <w:rsid w:val="00715CE2"/>
    <w:rsid w:val="007170DD"/>
    <w:rsid w:val="00721F1E"/>
    <w:rsid w:val="00721F3B"/>
    <w:rsid w:val="00721FF6"/>
    <w:rsid w:val="007228B9"/>
    <w:rsid w:val="007230BC"/>
    <w:rsid w:val="007234CB"/>
    <w:rsid w:val="007242FE"/>
    <w:rsid w:val="00724340"/>
    <w:rsid w:val="00725FED"/>
    <w:rsid w:val="00726E43"/>
    <w:rsid w:val="00727811"/>
    <w:rsid w:val="00731733"/>
    <w:rsid w:val="00732E54"/>
    <w:rsid w:val="00733014"/>
    <w:rsid w:val="00733119"/>
    <w:rsid w:val="007337C4"/>
    <w:rsid w:val="00733864"/>
    <w:rsid w:val="007344DC"/>
    <w:rsid w:val="00736073"/>
    <w:rsid w:val="00736711"/>
    <w:rsid w:val="007368AF"/>
    <w:rsid w:val="00736CC2"/>
    <w:rsid w:val="007379C5"/>
    <w:rsid w:val="007408DB"/>
    <w:rsid w:val="00744107"/>
    <w:rsid w:val="007446F5"/>
    <w:rsid w:val="00746D57"/>
    <w:rsid w:val="00751C4A"/>
    <w:rsid w:val="00754080"/>
    <w:rsid w:val="007540A5"/>
    <w:rsid w:val="007543BF"/>
    <w:rsid w:val="0075489A"/>
    <w:rsid w:val="00755F94"/>
    <w:rsid w:val="00756F4A"/>
    <w:rsid w:val="00756F6B"/>
    <w:rsid w:val="00757D05"/>
    <w:rsid w:val="00757F11"/>
    <w:rsid w:val="007607C3"/>
    <w:rsid w:val="00760C94"/>
    <w:rsid w:val="00760F7A"/>
    <w:rsid w:val="007618F9"/>
    <w:rsid w:val="007629C2"/>
    <w:rsid w:val="00762EF8"/>
    <w:rsid w:val="00763701"/>
    <w:rsid w:val="00765746"/>
    <w:rsid w:val="00766FEF"/>
    <w:rsid w:val="007677C9"/>
    <w:rsid w:val="00767B6B"/>
    <w:rsid w:val="00767B95"/>
    <w:rsid w:val="00767FDA"/>
    <w:rsid w:val="00773F1E"/>
    <w:rsid w:val="00774E30"/>
    <w:rsid w:val="00776480"/>
    <w:rsid w:val="00776D46"/>
    <w:rsid w:val="00780128"/>
    <w:rsid w:val="00780C2C"/>
    <w:rsid w:val="007819F3"/>
    <w:rsid w:val="00781B09"/>
    <w:rsid w:val="00781CBF"/>
    <w:rsid w:val="00783A28"/>
    <w:rsid w:val="00784429"/>
    <w:rsid w:val="00790961"/>
    <w:rsid w:val="00790ABA"/>
    <w:rsid w:val="007912FB"/>
    <w:rsid w:val="007920AA"/>
    <w:rsid w:val="00793692"/>
    <w:rsid w:val="00794786"/>
    <w:rsid w:val="007956A0"/>
    <w:rsid w:val="00795856"/>
    <w:rsid w:val="007A1A8B"/>
    <w:rsid w:val="007A238A"/>
    <w:rsid w:val="007A27AD"/>
    <w:rsid w:val="007A363A"/>
    <w:rsid w:val="007A3F5D"/>
    <w:rsid w:val="007A4579"/>
    <w:rsid w:val="007A494D"/>
    <w:rsid w:val="007A7D2C"/>
    <w:rsid w:val="007B035A"/>
    <w:rsid w:val="007B7E67"/>
    <w:rsid w:val="007C065B"/>
    <w:rsid w:val="007C200E"/>
    <w:rsid w:val="007C2A1B"/>
    <w:rsid w:val="007C2DBA"/>
    <w:rsid w:val="007C4241"/>
    <w:rsid w:val="007C7280"/>
    <w:rsid w:val="007C7DE7"/>
    <w:rsid w:val="007D1A85"/>
    <w:rsid w:val="007D203E"/>
    <w:rsid w:val="007D28A7"/>
    <w:rsid w:val="007D2AD3"/>
    <w:rsid w:val="007D5725"/>
    <w:rsid w:val="007E00E3"/>
    <w:rsid w:val="007E0889"/>
    <w:rsid w:val="007E19A5"/>
    <w:rsid w:val="007E2310"/>
    <w:rsid w:val="007E2655"/>
    <w:rsid w:val="007E3175"/>
    <w:rsid w:val="007E3275"/>
    <w:rsid w:val="007E724A"/>
    <w:rsid w:val="007F0C10"/>
    <w:rsid w:val="007F24CD"/>
    <w:rsid w:val="007F3325"/>
    <w:rsid w:val="007F4DA1"/>
    <w:rsid w:val="007F664A"/>
    <w:rsid w:val="007F6FB1"/>
    <w:rsid w:val="0080026C"/>
    <w:rsid w:val="00802791"/>
    <w:rsid w:val="008029FB"/>
    <w:rsid w:val="00802A10"/>
    <w:rsid w:val="00802BAB"/>
    <w:rsid w:val="00802FCD"/>
    <w:rsid w:val="0080630C"/>
    <w:rsid w:val="00806859"/>
    <w:rsid w:val="008070E3"/>
    <w:rsid w:val="00810163"/>
    <w:rsid w:val="008103F2"/>
    <w:rsid w:val="008107DD"/>
    <w:rsid w:val="00815113"/>
    <w:rsid w:val="00815592"/>
    <w:rsid w:val="0081623E"/>
    <w:rsid w:val="00816261"/>
    <w:rsid w:val="008162D2"/>
    <w:rsid w:val="00817CFC"/>
    <w:rsid w:val="008200D5"/>
    <w:rsid w:val="00820554"/>
    <w:rsid w:val="008210A8"/>
    <w:rsid w:val="00821470"/>
    <w:rsid w:val="00822B60"/>
    <w:rsid w:val="00823207"/>
    <w:rsid w:val="00825772"/>
    <w:rsid w:val="00825BF8"/>
    <w:rsid w:val="008272CA"/>
    <w:rsid w:val="00827815"/>
    <w:rsid w:val="00827EB1"/>
    <w:rsid w:val="00830DD7"/>
    <w:rsid w:val="00834947"/>
    <w:rsid w:val="00835657"/>
    <w:rsid w:val="00836BAA"/>
    <w:rsid w:val="00842FBC"/>
    <w:rsid w:val="00845F0E"/>
    <w:rsid w:val="00847161"/>
    <w:rsid w:val="0084792B"/>
    <w:rsid w:val="00850089"/>
    <w:rsid w:val="008501AF"/>
    <w:rsid w:val="00850CD9"/>
    <w:rsid w:val="00850FAE"/>
    <w:rsid w:val="00852699"/>
    <w:rsid w:val="00852892"/>
    <w:rsid w:val="00852CB5"/>
    <w:rsid w:val="00853A82"/>
    <w:rsid w:val="00854536"/>
    <w:rsid w:val="00854C83"/>
    <w:rsid w:val="00854F1A"/>
    <w:rsid w:val="0085545A"/>
    <w:rsid w:val="00856278"/>
    <w:rsid w:val="00856905"/>
    <w:rsid w:val="008601C3"/>
    <w:rsid w:val="00860A39"/>
    <w:rsid w:val="00860F75"/>
    <w:rsid w:val="00861BEF"/>
    <w:rsid w:val="00861C8D"/>
    <w:rsid w:val="00862005"/>
    <w:rsid w:val="008624A6"/>
    <w:rsid w:val="00863359"/>
    <w:rsid w:val="00863CE0"/>
    <w:rsid w:val="008649F0"/>
    <w:rsid w:val="00866856"/>
    <w:rsid w:val="00866BA2"/>
    <w:rsid w:val="008675B3"/>
    <w:rsid w:val="00867EE3"/>
    <w:rsid w:val="00870019"/>
    <w:rsid w:val="0087173C"/>
    <w:rsid w:val="00871E8B"/>
    <w:rsid w:val="00872A05"/>
    <w:rsid w:val="0087402C"/>
    <w:rsid w:val="008743D2"/>
    <w:rsid w:val="00874E0D"/>
    <w:rsid w:val="0087597E"/>
    <w:rsid w:val="00875A42"/>
    <w:rsid w:val="00880259"/>
    <w:rsid w:val="00880261"/>
    <w:rsid w:val="00880DDF"/>
    <w:rsid w:val="00880EB1"/>
    <w:rsid w:val="0088149D"/>
    <w:rsid w:val="0088402E"/>
    <w:rsid w:val="0088472A"/>
    <w:rsid w:val="0088518B"/>
    <w:rsid w:val="00887D0A"/>
    <w:rsid w:val="0089473C"/>
    <w:rsid w:val="0089587B"/>
    <w:rsid w:val="008A1747"/>
    <w:rsid w:val="008A22A6"/>
    <w:rsid w:val="008A2B26"/>
    <w:rsid w:val="008A2E92"/>
    <w:rsid w:val="008A364E"/>
    <w:rsid w:val="008A49E6"/>
    <w:rsid w:val="008A65BB"/>
    <w:rsid w:val="008A7EAB"/>
    <w:rsid w:val="008B1BFD"/>
    <w:rsid w:val="008B2DE9"/>
    <w:rsid w:val="008B3AF6"/>
    <w:rsid w:val="008C0390"/>
    <w:rsid w:val="008C0C8B"/>
    <w:rsid w:val="008C0CB6"/>
    <w:rsid w:val="008C0F88"/>
    <w:rsid w:val="008C40B9"/>
    <w:rsid w:val="008C4F08"/>
    <w:rsid w:val="008C70C0"/>
    <w:rsid w:val="008C7398"/>
    <w:rsid w:val="008C769B"/>
    <w:rsid w:val="008D3769"/>
    <w:rsid w:val="008D3CF4"/>
    <w:rsid w:val="008D42BC"/>
    <w:rsid w:val="008D6641"/>
    <w:rsid w:val="008D6B73"/>
    <w:rsid w:val="008D70B2"/>
    <w:rsid w:val="008D793B"/>
    <w:rsid w:val="008E16F1"/>
    <w:rsid w:val="008E1A98"/>
    <w:rsid w:val="008E2899"/>
    <w:rsid w:val="008E33CB"/>
    <w:rsid w:val="008E33E4"/>
    <w:rsid w:val="008E3847"/>
    <w:rsid w:val="008E5F77"/>
    <w:rsid w:val="008E62D1"/>
    <w:rsid w:val="008E7236"/>
    <w:rsid w:val="008E7ED8"/>
    <w:rsid w:val="008F0BA6"/>
    <w:rsid w:val="008F1338"/>
    <w:rsid w:val="008F22AA"/>
    <w:rsid w:val="008F2E89"/>
    <w:rsid w:val="008F3B32"/>
    <w:rsid w:val="008F3B76"/>
    <w:rsid w:val="008F5C10"/>
    <w:rsid w:val="008F67F4"/>
    <w:rsid w:val="008F6BB5"/>
    <w:rsid w:val="008F76F0"/>
    <w:rsid w:val="009015E7"/>
    <w:rsid w:val="00903283"/>
    <w:rsid w:val="00903710"/>
    <w:rsid w:val="009043B5"/>
    <w:rsid w:val="00905E3D"/>
    <w:rsid w:val="009061FC"/>
    <w:rsid w:val="0090638A"/>
    <w:rsid w:val="009064EF"/>
    <w:rsid w:val="00912B52"/>
    <w:rsid w:val="009150AA"/>
    <w:rsid w:val="00915AEE"/>
    <w:rsid w:val="00915B17"/>
    <w:rsid w:val="00917398"/>
    <w:rsid w:val="00922F62"/>
    <w:rsid w:val="009231EE"/>
    <w:rsid w:val="00923683"/>
    <w:rsid w:val="009239B3"/>
    <w:rsid w:val="00925766"/>
    <w:rsid w:val="00925E28"/>
    <w:rsid w:val="00926DE7"/>
    <w:rsid w:val="00926E60"/>
    <w:rsid w:val="00927979"/>
    <w:rsid w:val="00930A22"/>
    <w:rsid w:val="00931995"/>
    <w:rsid w:val="00931A74"/>
    <w:rsid w:val="0093279D"/>
    <w:rsid w:val="00935199"/>
    <w:rsid w:val="00935902"/>
    <w:rsid w:val="00940A9C"/>
    <w:rsid w:val="00940BD5"/>
    <w:rsid w:val="00940EB5"/>
    <w:rsid w:val="0094539A"/>
    <w:rsid w:val="00945EA6"/>
    <w:rsid w:val="00946CE5"/>
    <w:rsid w:val="00947BB7"/>
    <w:rsid w:val="00952810"/>
    <w:rsid w:val="0095331F"/>
    <w:rsid w:val="009537F6"/>
    <w:rsid w:val="00954F13"/>
    <w:rsid w:val="0095547B"/>
    <w:rsid w:val="00955A7F"/>
    <w:rsid w:val="00955B75"/>
    <w:rsid w:val="00956AA1"/>
    <w:rsid w:val="00956E1C"/>
    <w:rsid w:val="009606DC"/>
    <w:rsid w:val="009615EE"/>
    <w:rsid w:val="009636CD"/>
    <w:rsid w:val="00966521"/>
    <w:rsid w:val="009667C4"/>
    <w:rsid w:val="00966DAD"/>
    <w:rsid w:val="00967F7D"/>
    <w:rsid w:val="00970C85"/>
    <w:rsid w:val="009712F1"/>
    <w:rsid w:val="00972E33"/>
    <w:rsid w:val="0097581E"/>
    <w:rsid w:val="00975A90"/>
    <w:rsid w:val="00975F8F"/>
    <w:rsid w:val="00975FBB"/>
    <w:rsid w:val="00976582"/>
    <w:rsid w:val="00976889"/>
    <w:rsid w:val="00976B8F"/>
    <w:rsid w:val="0097750C"/>
    <w:rsid w:val="009819FD"/>
    <w:rsid w:val="00984D78"/>
    <w:rsid w:val="0098535D"/>
    <w:rsid w:val="009856B0"/>
    <w:rsid w:val="00985C5A"/>
    <w:rsid w:val="009911BF"/>
    <w:rsid w:val="009915EB"/>
    <w:rsid w:val="00991A3D"/>
    <w:rsid w:val="00991F97"/>
    <w:rsid w:val="009926BF"/>
    <w:rsid w:val="009947AA"/>
    <w:rsid w:val="00994B96"/>
    <w:rsid w:val="00995251"/>
    <w:rsid w:val="00996B23"/>
    <w:rsid w:val="00997080"/>
    <w:rsid w:val="009978FA"/>
    <w:rsid w:val="00997965"/>
    <w:rsid w:val="009A0E01"/>
    <w:rsid w:val="009A3F89"/>
    <w:rsid w:val="009A425E"/>
    <w:rsid w:val="009A479D"/>
    <w:rsid w:val="009A50D4"/>
    <w:rsid w:val="009A536B"/>
    <w:rsid w:val="009A7460"/>
    <w:rsid w:val="009B05A1"/>
    <w:rsid w:val="009B1384"/>
    <w:rsid w:val="009B2489"/>
    <w:rsid w:val="009B29FF"/>
    <w:rsid w:val="009B2EF9"/>
    <w:rsid w:val="009B3357"/>
    <w:rsid w:val="009B33AC"/>
    <w:rsid w:val="009B33B3"/>
    <w:rsid w:val="009B469C"/>
    <w:rsid w:val="009B6113"/>
    <w:rsid w:val="009B7749"/>
    <w:rsid w:val="009B7C68"/>
    <w:rsid w:val="009C084B"/>
    <w:rsid w:val="009C0B00"/>
    <w:rsid w:val="009C1D79"/>
    <w:rsid w:val="009C28EB"/>
    <w:rsid w:val="009C2A51"/>
    <w:rsid w:val="009C31B6"/>
    <w:rsid w:val="009C35DA"/>
    <w:rsid w:val="009C3A49"/>
    <w:rsid w:val="009C5CC8"/>
    <w:rsid w:val="009C7C80"/>
    <w:rsid w:val="009D014B"/>
    <w:rsid w:val="009D278B"/>
    <w:rsid w:val="009D27F3"/>
    <w:rsid w:val="009D3B75"/>
    <w:rsid w:val="009D410A"/>
    <w:rsid w:val="009D48B4"/>
    <w:rsid w:val="009D54D7"/>
    <w:rsid w:val="009D5EB3"/>
    <w:rsid w:val="009D72E9"/>
    <w:rsid w:val="009D756B"/>
    <w:rsid w:val="009D768F"/>
    <w:rsid w:val="009E0EAF"/>
    <w:rsid w:val="009E14AA"/>
    <w:rsid w:val="009E157D"/>
    <w:rsid w:val="009E2444"/>
    <w:rsid w:val="009E2446"/>
    <w:rsid w:val="009E2DC1"/>
    <w:rsid w:val="009E2E79"/>
    <w:rsid w:val="009E4A8B"/>
    <w:rsid w:val="009E5F35"/>
    <w:rsid w:val="009E72FE"/>
    <w:rsid w:val="009F0A7D"/>
    <w:rsid w:val="009F3FF1"/>
    <w:rsid w:val="009F41D9"/>
    <w:rsid w:val="009F4502"/>
    <w:rsid w:val="009F564C"/>
    <w:rsid w:val="009F5C37"/>
    <w:rsid w:val="009F63B0"/>
    <w:rsid w:val="00A01C07"/>
    <w:rsid w:val="00A02BBC"/>
    <w:rsid w:val="00A03AD6"/>
    <w:rsid w:val="00A05923"/>
    <w:rsid w:val="00A05CB3"/>
    <w:rsid w:val="00A076FE"/>
    <w:rsid w:val="00A10505"/>
    <w:rsid w:val="00A10624"/>
    <w:rsid w:val="00A11D4E"/>
    <w:rsid w:val="00A1210F"/>
    <w:rsid w:val="00A1309C"/>
    <w:rsid w:val="00A133AF"/>
    <w:rsid w:val="00A13BED"/>
    <w:rsid w:val="00A14A2F"/>
    <w:rsid w:val="00A14B97"/>
    <w:rsid w:val="00A14F9D"/>
    <w:rsid w:val="00A15DA4"/>
    <w:rsid w:val="00A16915"/>
    <w:rsid w:val="00A1775A"/>
    <w:rsid w:val="00A20251"/>
    <w:rsid w:val="00A2113A"/>
    <w:rsid w:val="00A241BB"/>
    <w:rsid w:val="00A24E3D"/>
    <w:rsid w:val="00A2621F"/>
    <w:rsid w:val="00A26B71"/>
    <w:rsid w:val="00A26C5E"/>
    <w:rsid w:val="00A27F2D"/>
    <w:rsid w:val="00A30BE3"/>
    <w:rsid w:val="00A30FB9"/>
    <w:rsid w:val="00A3142D"/>
    <w:rsid w:val="00A330A4"/>
    <w:rsid w:val="00A332C1"/>
    <w:rsid w:val="00A3348B"/>
    <w:rsid w:val="00A33DBE"/>
    <w:rsid w:val="00A342B7"/>
    <w:rsid w:val="00A364B2"/>
    <w:rsid w:val="00A369C1"/>
    <w:rsid w:val="00A37C32"/>
    <w:rsid w:val="00A37D32"/>
    <w:rsid w:val="00A40CE9"/>
    <w:rsid w:val="00A40F22"/>
    <w:rsid w:val="00A4134B"/>
    <w:rsid w:val="00A41EFE"/>
    <w:rsid w:val="00A453E0"/>
    <w:rsid w:val="00A45A75"/>
    <w:rsid w:val="00A45F7F"/>
    <w:rsid w:val="00A478A4"/>
    <w:rsid w:val="00A47E2B"/>
    <w:rsid w:val="00A50833"/>
    <w:rsid w:val="00A50AEB"/>
    <w:rsid w:val="00A511F6"/>
    <w:rsid w:val="00A517B4"/>
    <w:rsid w:val="00A52B52"/>
    <w:rsid w:val="00A52E36"/>
    <w:rsid w:val="00A53EA2"/>
    <w:rsid w:val="00A54358"/>
    <w:rsid w:val="00A5460F"/>
    <w:rsid w:val="00A54E27"/>
    <w:rsid w:val="00A56159"/>
    <w:rsid w:val="00A5638A"/>
    <w:rsid w:val="00A563BE"/>
    <w:rsid w:val="00A57112"/>
    <w:rsid w:val="00A57A02"/>
    <w:rsid w:val="00A57E6D"/>
    <w:rsid w:val="00A60D26"/>
    <w:rsid w:val="00A61283"/>
    <w:rsid w:val="00A612A0"/>
    <w:rsid w:val="00A623BF"/>
    <w:rsid w:val="00A62656"/>
    <w:rsid w:val="00A62B5C"/>
    <w:rsid w:val="00A62DD6"/>
    <w:rsid w:val="00A63068"/>
    <w:rsid w:val="00A6408D"/>
    <w:rsid w:val="00A6409F"/>
    <w:rsid w:val="00A64392"/>
    <w:rsid w:val="00A65A3B"/>
    <w:rsid w:val="00A66909"/>
    <w:rsid w:val="00A72DD7"/>
    <w:rsid w:val="00A748A0"/>
    <w:rsid w:val="00A76D82"/>
    <w:rsid w:val="00A76FE3"/>
    <w:rsid w:val="00A774BF"/>
    <w:rsid w:val="00A77539"/>
    <w:rsid w:val="00A80CAE"/>
    <w:rsid w:val="00A80F2D"/>
    <w:rsid w:val="00A82436"/>
    <w:rsid w:val="00A83C0F"/>
    <w:rsid w:val="00A83CE6"/>
    <w:rsid w:val="00A847AF"/>
    <w:rsid w:val="00A84E4A"/>
    <w:rsid w:val="00A85D41"/>
    <w:rsid w:val="00A874CD"/>
    <w:rsid w:val="00A87BB5"/>
    <w:rsid w:val="00A9037A"/>
    <w:rsid w:val="00A907D2"/>
    <w:rsid w:val="00A90897"/>
    <w:rsid w:val="00A912AB"/>
    <w:rsid w:val="00A91470"/>
    <w:rsid w:val="00A919D8"/>
    <w:rsid w:val="00A92ED4"/>
    <w:rsid w:val="00A93657"/>
    <w:rsid w:val="00A93D53"/>
    <w:rsid w:val="00A95226"/>
    <w:rsid w:val="00A97105"/>
    <w:rsid w:val="00AA109E"/>
    <w:rsid w:val="00AA2262"/>
    <w:rsid w:val="00AA23EE"/>
    <w:rsid w:val="00AA3B6F"/>
    <w:rsid w:val="00AA537D"/>
    <w:rsid w:val="00AA6534"/>
    <w:rsid w:val="00AA7A80"/>
    <w:rsid w:val="00AB00F4"/>
    <w:rsid w:val="00AB4B6A"/>
    <w:rsid w:val="00AB4F5A"/>
    <w:rsid w:val="00AB5A23"/>
    <w:rsid w:val="00AB690B"/>
    <w:rsid w:val="00AC0359"/>
    <w:rsid w:val="00AC08F9"/>
    <w:rsid w:val="00AC0F0A"/>
    <w:rsid w:val="00AC1B22"/>
    <w:rsid w:val="00AC1F3D"/>
    <w:rsid w:val="00AC3A57"/>
    <w:rsid w:val="00AC4248"/>
    <w:rsid w:val="00AC7342"/>
    <w:rsid w:val="00AD2E73"/>
    <w:rsid w:val="00AD382C"/>
    <w:rsid w:val="00AD41CD"/>
    <w:rsid w:val="00AD6B10"/>
    <w:rsid w:val="00AE3DF3"/>
    <w:rsid w:val="00AE4F4F"/>
    <w:rsid w:val="00AE5D71"/>
    <w:rsid w:val="00AE7D89"/>
    <w:rsid w:val="00AF0593"/>
    <w:rsid w:val="00AF2DD3"/>
    <w:rsid w:val="00AF3AC6"/>
    <w:rsid w:val="00AF451A"/>
    <w:rsid w:val="00AF506E"/>
    <w:rsid w:val="00AF518C"/>
    <w:rsid w:val="00AF58F6"/>
    <w:rsid w:val="00AF5EF7"/>
    <w:rsid w:val="00AF6A96"/>
    <w:rsid w:val="00B005D8"/>
    <w:rsid w:val="00B0241C"/>
    <w:rsid w:val="00B02542"/>
    <w:rsid w:val="00B026F7"/>
    <w:rsid w:val="00B035AA"/>
    <w:rsid w:val="00B04C13"/>
    <w:rsid w:val="00B055EA"/>
    <w:rsid w:val="00B05781"/>
    <w:rsid w:val="00B060FE"/>
    <w:rsid w:val="00B06A87"/>
    <w:rsid w:val="00B076DD"/>
    <w:rsid w:val="00B106E6"/>
    <w:rsid w:val="00B11EAA"/>
    <w:rsid w:val="00B125D6"/>
    <w:rsid w:val="00B13945"/>
    <w:rsid w:val="00B14BD1"/>
    <w:rsid w:val="00B15392"/>
    <w:rsid w:val="00B21339"/>
    <w:rsid w:val="00B21395"/>
    <w:rsid w:val="00B22324"/>
    <w:rsid w:val="00B2260C"/>
    <w:rsid w:val="00B23189"/>
    <w:rsid w:val="00B23436"/>
    <w:rsid w:val="00B25BB1"/>
    <w:rsid w:val="00B25EF0"/>
    <w:rsid w:val="00B26D6E"/>
    <w:rsid w:val="00B30588"/>
    <w:rsid w:val="00B307CF"/>
    <w:rsid w:val="00B30853"/>
    <w:rsid w:val="00B358BF"/>
    <w:rsid w:val="00B35AD5"/>
    <w:rsid w:val="00B35F92"/>
    <w:rsid w:val="00B365D9"/>
    <w:rsid w:val="00B36619"/>
    <w:rsid w:val="00B36A30"/>
    <w:rsid w:val="00B36B38"/>
    <w:rsid w:val="00B36F2C"/>
    <w:rsid w:val="00B41294"/>
    <w:rsid w:val="00B41550"/>
    <w:rsid w:val="00B418CE"/>
    <w:rsid w:val="00B42C86"/>
    <w:rsid w:val="00B4329B"/>
    <w:rsid w:val="00B43B9B"/>
    <w:rsid w:val="00B44027"/>
    <w:rsid w:val="00B462BD"/>
    <w:rsid w:val="00B46BFD"/>
    <w:rsid w:val="00B46C03"/>
    <w:rsid w:val="00B46F97"/>
    <w:rsid w:val="00B47DFD"/>
    <w:rsid w:val="00B50660"/>
    <w:rsid w:val="00B50BE9"/>
    <w:rsid w:val="00B5123E"/>
    <w:rsid w:val="00B52203"/>
    <w:rsid w:val="00B545F0"/>
    <w:rsid w:val="00B5587C"/>
    <w:rsid w:val="00B55B19"/>
    <w:rsid w:val="00B575FB"/>
    <w:rsid w:val="00B611A8"/>
    <w:rsid w:val="00B611D0"/>
    <w:rsid w:val="00B62541"/>
    <w:rsid w:val="00B63F1A"/>
    <w:rsid w:val="00B6476E"/>
    <w:rsid w:val="00B649C5"/>
    <w:rsid w:val="00B64E34"/>
    <w:rsid w:val="00B6641C"/>
    <w:rsid w:val="00B67A88"/>
    <w:rsid w:val="00B70292"/>
    <w:rsid w:val="00B7043D"/>
    <w:rsid w:val="00B70511"/>
    <w:rsid w:val="00B715D1"/>
    <w:rsid w:val="00B73218"/>
    <w:rsid w:val="00B732ED"/>
    <w:rsid w:val="00B73F0B"/>
    <w:rsid w:val="00B74185"/>
    <w:rsid w:val="00B7428C"/>
    <w:rsid w:val="00B75773"/>
    <w:rsid w:val="00B75A69"/>
    <w:rsid w:val="00B75D0E"/>
    <w:rsid w:val="00B76283"/>
    <w:rsid w:val="00B76A69"/>
    <w:rsid w:val="00B76E63"/>
    <w:rsid w:val="00B77E97"/>
    <w:rsid w:val="00B806FC"/>
    <w:rsid w:val="00B8138B"/>
    <w:rsid w:val="00B818F9"/>
    <w:rsid w:val="00B8272F"/>
    <w:rsid w:val="00B83077"/>
    <w:rsid w:val="00B83266"/>
    <w:rsid w:val="00B8360D"/>
    <w:rsid w:val="00B8491A"/>
    <w:rsid w:val="00B87EA5"/>
    <w:rsid w:val="00B87F25"/>
    <w:rsid w:val="00B90832"/>
    <w:rsid w:val="00B908A6"/>
    <w:rsid w:val="00B92585"/>
    <w:rsid w:val="00B9283D"/>
    <w:rsid w:val="00B93E08"/>
    <w:rsid w:val="00B95036"/>
    <w:rsid w:val="00B956F6"/>
    <w:rsid w:val="00B95750"/>
    <w:rsid w:val="00B95A4F"/>
    <w:rsid w:val="00B97C7F"/>
    <w:rsid w:val="00BA01D4"/>
    <w:rsid w:val="00BA0925"/>
    <w:rsid w:val="00BA1561"/>
    <w:rsid w:val="00BA5946"/>
    <w:rsid w:val="00BA6C97"/>
    <w:rsid w:val="00BB096D"/>
    <w:rsid w:val="00BB1781"/>
    <w:rsid w:val="00BB17A1"/>
    <w:rsid w:val="00BB1A11"/>
    <w:rsid w:val="00BB2416"/>
    <w:rsid w:val="00BB4507"/>
    <w:rsid w:val="00BB4702"/>
    <w:rsid w:val="00BB53F5"/>
    <w:rsid w:val="00BB584D"/>
    <w:rsid w:val="00BB58E5"/>
    <w:rsid w:val="00BB68C7"/>
    <w:rsid w:val="00BC047E"/>
    <w:rsid w:val="00BC07E6"/>
    <w:rsid w:val="00BC1588"/>
    <w:rsid w:val="00BC3AE4"/>
    <w:rsid w:val="00BC3F35"/>
    <w:rsid w:val="00BC43B9"/>
    <w:rsid w:val="00BC4709"/>
    <w:rsid w:val="00BC5A41"/>
    <w:rsid w:val="00BC7049"/>
    <w:rsid w:val="00BD0017"/>
    <w:rsid w:val="00BD0669"/>
    <w:rsid w:val="00BD1530"/>
    <w:rsid w:val="00BD1A22"/>
    <w:rsid w:val="00BD34A0"/>
    <w:rsid w:val="00BD3538"/>
    <w:rsid w:val="00BD4937"/>
    <w:rsid w:val="00BD6927"/>
    <w:rsid w:val="00BD6ADF"/>
    <w:rsid w:val="00BD6CAA"/>
    <w:rsid w:val="00BD734E"/>
    <w:rsid w:val="00BE143C"/>
    <w:rsid w:val="00BE28BB"/>
    <w:rsid w:val="00BE3712"/>
    <w:rsid w:val="00BE4FC6"/>
    <w:rsid w:val="00BE661F"/>
    <w:rsid w:val="00BF10FE"/>
    <w:rsid w:val="00BF1B73"/>
    <w:rsid w:val="00BF1FC3"/>
    <w:rsid w:val="00BF46CF"/>
    <w:rsid w:val="00BF614C"/>
    <w:rsid w:val="00BF63AB"/>
    <w:rsid w:val="00BF692F"/>
    <w:rsid w:val="00BF6EE6"/>
    <w:rsid w:val="00BF715A"/>
    <w:rsid w:val="00BF75D0"/>
    <w:rsid w:val="00BF7CB9"/>
    <w:rsid w:val="00C03144"/>
    <w:rsid w:val="00C03458"/>
    <w:rsid w:val="00C03BC5"/>
    <w:rsid w:val="00C03F1C"/>
    <w:rsid w:val="00C04077"/>
    <w:rsid w:val="00C04D7F"/>
    <w:rsid w:val="00C0577B"/>
    <w:rsid w:val="00C07E74"/>
    <w:rsid w:val="00C109EE"/>
    <w:rsid w:val="00C112E3"/>
    <w:rsid w:val="00C12DB6"/>
    <w:rsid w:val="00C13287"/>
    <w:rsid w:val="00C1340D"/>
    <w:rsid w:val="00C15644"/>
    <w:rsid w:val="00C15D82"/>
    <w:rsid w:val="00C1648C"/>
    <w:rsid w:val="00C21119"/>
    <w:rsid w:val="00C237B4"/>
    <w:rsid w:val="00C23B2E"/>
    <w:rsid w:val="00C2406D"/>
    <w:rsid w:val="00C256AC"/>
    <w:rsid w:val="00C26080"/>
    <w:rsid w:val="00C26D71"/>
    <w:rsid w:val="00C27B78"/>
    <w:rsid w:val="00C3011E"/>
    <w:rsid w:val="00C305D6"/>
    <w:rsid w:val="00C30738"/>
    <w:rsid w:val="00C312AF"/>
    <w:rsid w:val="00C338A0"/>
    <w:rsid w:val="00C339C9"/>
    <w:rsid w:val="00C3519C"/>
    <w:rsid w:val="00C35589"/>
    <w:rsid w:val="00C36F27"/>
    <w:rsid w:val="00C37939"/>
    <w:rsid w:val="00C402E8"/>
    <w:rsid w:val="00C40440"/>
    <w:rsid w:val="00C411A1"/>
    <w:rsid w:val="00C41EC3"/>
    <w:rsid w:val="00C42463"/>
    <w:rsid w:val="00C4303F"/>
    <w:rsid w:val="00C439C7"/>
    <w:rsid w:val="00C44214"/>
    <w:rsid w:val="00C44EEC"/>
    <w:rsid w:val="00C4511B"/>
    <w:rsid w:val="00C45B64"/>
    <w:rsid w:val="00C45E2D"/>
    <w:rsid w:val="00C4682C"/>
    <w:rsid w:val="00C46D04"/>
    <w:rsid w:val="00C46E20"/>
    <w:rsid w:val="00C50004"/>
    <w:rsid w:val="00C503F6"/>
    <w:rsid w:val="00C528FB"/>
    <w:rsid w:val="00C543FB"/>
    <w:rsid w:val="00C54A25"/>
    <w:rsid w:val="00C55B23"/>
    <w:rsid w:val="00C565A1"/>
    <w:rsid w:val="00C568B8"/>
    <w:rsid w:val="00C56A3E"/>
    <w:rsid w:val="00C56EE6"/>
    <w:rsid w:val="00C573BF"/>
    <w:rsid w:val="00C5755D"/>
    <w:rsid w:val="00C5771E"/>
    <w:rsid w:val="00C6176D"/>
    <w:rsid w:val="00C618C7"/>
    <w:rsid w:val="00C6206F"/>
    <w:rsid w:val="00C633C4"/>
    <w:rsid w:val="00C65C67"/>
    <w:rsid w:val="00C66372"/>
    <w:rsid w:val="00C67522"/>
    <w:rsid w:val="00C748BF"/>
    <w:rsid w:val="00C75676"/>
    <w:rsid w:val="00C75A73"/>
    <w:rsid w:val="00C75F9B"/>
    <w:rsid w:val="00C81BE7"/>
    <w:rsid w:val="00C82424"/>
    <w:rsid w:val="00C8265C"/>
    <w:rsid w:val="00C82C5B"/>
    <w:rsid w:val="00C8323B"/>
    <w:rsid w:val="00C83716"/>
    <w:rsid w:val="00C84190"/>
    <w:rsid w:val="00C849E2"/>
    <w:rsid w:val="00C84DEB"/>
    <w:rsid w:val="00C85787"/>
    <w:rsid w:val="00C86B2A"/>
    <w:rsid w:val="00C8739D"/>
    <w:rsid w:val="00C93C6A"/>
    <w:rsid w:val="00C948DC"/>
    <w:rsid w:val="00C95A38"/>
    <w:rsid w:val="00C95D60"/>
    <w:rsid w:val="00CA001D"/>
    <w:rsid w:val="00CA2696"/>
    <w:rsid w:val="00CA4E8B"/>
    <w:rsid w:val="00CA5002"/>
    <w:rsid w:val="00CA5596"/>
    <w:rsid w:val="00CA71D3"/>
    <w:rsid w:val="00CA71EA"/>
    <w:rsid w:val="00CA789B"/>
    <w:rsid w:val="00CB2B2C"/>
    <w:rsid w:val="00CB2F6F"/>
    <w:rsid w:val="00CB31EA"/>
    <w:rsid w:val="00CB4DA7"/>
    <w:rsid w:val="00CB5419"/>
    <w:rsid w:val="00CB5675"/>
    <w:rsid w:val="00CB767B"/>
    <w:rsid w:val="00CB783E"/>
    <w:rsid w:val="00CB7931"/>
    <w:rsid w:val="00CC09DF"/>
    <w:rsid w:val="00CC0CCC"/>
    <w:rsid w:val="00CC234B"/>
    <w:rsid w:val="00CC276F"/>
    <w:rsid w:val="00CC2B14"/>
    <w:rsid w:val="00CC2B46"/>
    <w:rsid w:val="00CC526D"/>
    <w:rsid w:val="00CC6D48"/>
    <w:rsid w:val="00CC74A7"/>
    <w:rsid w:val="00CD022B"/>
    <w:rsid w:val="00CD02A5"/>
    <w:rsid w:val="00CD06D7"/>
    <w:rsid w:val="00CD1A7D"/>
    <w:rsid w:val="00CD283A"/>
    <w:rsid w:val="00CD3641"/>
    <w:rsid w:val="00CD6149"/>
    <w:rsid w:val="00CD71F4"/>
    <w:rsid w:val="00CD7CD8"/>
    <w:rsid w:val="00CE189E"/>
    <w:rsid w:val="00CE2609"/>
    <w:rsid w:val="00CE2ECF"/>
    <w:rsid w:val="00CE4D78"/>
    <w:rsid w:val="00CE5A91"/>
    <w:rsid w:val="00CE5CCE"/>
    <w:rsid w:val="00CE5D0D"/>
    <w:rsid w:val="00CE683C"/>
    <w:rsid w:val="00CE7116"/>
    <w:rsid w:val="00CE7459"/>
    <w:rsid w:val="00CF08E9"/>
    <w:rsid w:val="00CF1A1D"/>
    <w:rsid w:val="00CF1DC3"/>
    <w:rsid w:val="00CF22A0"/>
    <w:rsid w:val="00CF25A4"/>
    <w:rsid w:val="00CF29B3"/>
    <w:rsid w:val="00CF2B83"/>
    <w:rsid w:val="00CF430D"/>
    <w:rsid w:val="00CF4FE9"/>
    <w:rsid w:val="00CF52D8"/>
    <w:rsid w:val="00CF7702"/>
    <w:rsid w:val="00D0258F"/>
    <w:rsid w:val="00D02BED"/>
    <w:rsid w:val="00D03CC6"/>
    <w:rsid w:val="00D04BEB"/>
    <w:rsid w:val="00D0632D"/>
    <w:rsid w:val="00D0699E"/>
    <w:rsid w:val="00D077EC"/>
    <w:rsid w:val="00D10907"/>
    <w:rsid w:val="00D10DA0"/>
    <w:rsid w:val="00D1132B"/>
    <w:rsid w:val="00D11808"/>
    <w:rsid w:val="00D119DC"/>
    <w:rsid w:val="00D1211F"/>
    <w:rsid w:val="00D12262"/>
    <w:rsid w:val="00D12549"/>
    <w:rsid w:val="00D142B0"/>
    <w:rsid w:val="00D146C7"/>
    <w:rsid w:val="00D150BA"/>
    <w:rsid w:val="00D17244"/>
    <w:rsid w:val="00D207DE"/>
    <w:rsid w:val="00D22B7D"/>
    <w:rsid w:val="00D2552A"/>
    <w:rsid w:val="00D259FE"/>
    <w:rsid w:val="00D27ABC"/>
    <w:rsid w:val="00D302F1"/>
    <w:rsid w:val="00D3077B"/>
    <w:rsid w:val="00D309A1"/>
    <w:rsid w:val="00D31236"/>
    <w:rsid w:val="00D3193F"/>
    <w:rsid w:val="00D3266A"/>
    <w:rsid w:val="00D32D79"/>
    <w:rsid w:val="00D348D3"/>
    <w:rsid w:val="00D34DB0"/>
    <w:rsid w:val="00D3565F"/>
    <w:rsid w:val="00D36FF9"/>
    <w:rsid w:val="00D37161"/>
    <w:rsid w:val="00D43BE8"/>
    <w:rsid w:val="00D452E7"/>
    <w:rsid w:val="00D47364"/>
    <w:rsid w:val="00D50B1B"/>
    <w:rsid w:val="00D50DF6"/>
    <w:rsid w:val="00D51570"/>
    <w:rsid w:val="00D515FD"/>
    <w:rsid w:val="00D51EBC"/>
    <w:rsid w:val="00D52D13"/>
    <w:rsid w:val="00D538FD"/>
    <w:rsid w:val="00D53A5D"/>
    <w:rsid w:val="00D53EC5"/>
    <w:rsid w:val="00D54C99"/>
    <w:rsid w:val="00D556C0"/>
    <w:rsid w:val="00D55DE6"/>
    <w:rsid w:val="00D57F7C"/>
    <w:rsid w:val="00D60213"/>
    <w:rsid w:val="00D61982"/>
    <w:rsid w:val="00D61E4C"/>
    <w:rsid w:val="00D620AC"/>
    <w:rsid w:val="00D63BFF"/>
    <w:rsid w:val="00D643EF"/>
    <w:rsid w:val="00D6520D"/>
    <w:rsid w:val="00D6588F"/>
    <w:rsid w:val="00D666A2"/>
    <w:rsid w:val="00D66ED9"/>
    <w:rsid w:val="00D70350"/>
    <w:rsid w:val="00D7039B"/>
    <w:rsid w:val="00D718F2"/>
    <w:rsid w:val="00D73A2C"/>
    <w:rsid w:val="00D7494E"/>
    <w:rsid w:val="00D7692D"/>
    <w:rsid w:val="00D800BB"/>
    <w:rsid w:val="00D8088C"/>
    <w:rsid w:val="00D808C5"/>
    <w:rsid w:val="00D81441"/>
    <w:rsid w:val="00D84891"/>
    <w:rsid w:val="00D861E9"/>
    <w:rsid w:val="00D9032E"/>
    <w:rsid w:val="00D9065A"/>
    <w:rsid w:val="00D90723"/>
    <w:rsid w:val="00D91CB0"/>
    <w:rsid w:val="00D92424"/>
    <w:rsid w:val="00D934A1"/>
    <w:rsid w:val="00D948F5"/>
    <w:rsid w:val="00D96207"/>
    <w:rsid w:val="00D97A36"/>
    <w:rsid w:val="00D97F28"/>
    <w:rsid w:val="00DA1529"/>
    <w:rsid w:val="00DA17E5"/>
    <w:rsid w:val="00DA2848"/>
    <w:rsid w:val="00DA3128"/>
    <w:rsid w:val="00DA3968"/>
    <w:rsid w:val="00DA45D1"/>
    <w:rsid w:val="00DA4AA0"/>
    <w:rsid w:val="00DA52A0"/>
    <w:rsid w:val="00DA5453"/>
    <w:rsid w:val="00DA605C"/>
    <w:rsid w:val="00DA60D6"/>
    <w:rsid w:val="00DA7125"/>
    <w:rsid w:val="00DB0511"/>
    <w:rsid w:val="00DB2116"/>
    <w:rsid w:val="00DB36E0"/>
    <w:rsid w:val="00DB5248"/>
    <w:rsid w:val="00DB658A"/>
    <w:rsid w:val="00DB7129"/>
    <w:rsid w:val="00DB726C"/>
    <w:rsid w:val="00DB730C"/>
    <w:rsid w:val="00DB7D88"/>
    <w:rsid w:val="00DC083F"/>
    <w:rsid w:val="00DC2973"/>
    <w:rsid w:val="00DC2FE1"/>
    <w:rsid w:val="00DC42D6"/>
    <w:rsid w:val="00DC4B97"/>
    <w:rsid w:val="00DC5BF2"/>
    <w:rsid w:val="00DC6790"/>
    <w:rsid w:val="00DC6DAD"/>
    <w:rsid w:val="00DC7054"/>
    <w:rsid w:val="00DD07D1"/>
    <w:rsid w:val="00DD1E3C"/>
    <w:rsid w:val="00DD44E6"/>
    <w:rsid w:val="00DD5F63"/>
    <w:rsid w:val="00DD6395"/>
    <w:rsid w:val="00DD6416"/>
    <w:rsid w:val="00DD714F"/>
    <w:rsid w:val="00DE2938"/>
    <w:rsid w:val="00DE463D"/>
    <w:rsid w:val="00DE5635"/>
    <w:rsid w:val="00DE59F2"/>
    <w:rsid w:val="00DE6D5F"/>
    <w:rsid w:val="00DE71E4"/>
    <w:rsid w:val="00DE75ED"/>
    <w:rsid w:val="00DF02BD"/>
    <w:rsid w:val="00DF0AD3"/>
    <w:rsid w:val="00DF0E86"/>
    <w:rsid w:val="00DF12D6"/>
    <w:rsid w:val="00DF133B"/>
    <w:rsid w:val="00DF1448"/>
    <w:rsid w:val="00DF25DB"/>
    <w:rsid w:val="00DF5C25"/>
    <w:rsid w:val="00DF6817"/>
    <w:rsid w:val="00E00029"/>
    <w:rsid w:val="00E00350"/>
    <w:rsid w:val="00E009C8"/>
    <w:rsid w:val="00E00EF8"/>
    <w:rsid w:val="00E0140D"/>
    <w:rsid w:val="00E015A7"/>
    <w:rsid w:val="00E015E1"/>
    <w:rsid w:val="00E025FA"/>
    <w:rsid w:val="00E02E73"/>
    <w:rsid w:val="00E033DB"/>
    <w:rsid w:val="00E03AA2"/>
    <w:rsid w:val="00E04326"/>
    <w:rsid w:val="00E049C2"/>
    <w:rsid w:val="00E05113"/>
    <w:rsid w:val="00E06376"/>
    <w:rsid w:val="00E071DB"/>
    <w:rsid w:val="00E071E1"/>
    <w:rsid w:val="00E10840"/>
    <w:rsid w:val="00E10F61"/>
    <w:rsid w:val="00E11CF7"/>
    <w:rsid w:val="00E14FA0"/>
    <w:rsid w:val="00E168E7"/>
    <w:rsid w:val="00E174C1"/>
    <w:rsid w:val="00E17EA5"/>
    <w:rsid w:val="00E2152F"/>
    <w:rsid w:val="00E21F19"/>
    <w:rsid w:val="00E2276C"/>
    <w:rsid w:val="00E242E6"/>
    <w:rsid w:val="00E2450F"/>
    <w:rsid w:val="00E25572"/>
    <w:rsid w:val="00E25D4E"/>
    <w:rsid w:val="00E26010"/>
    <w:rsid w:val="00E303EF"/>
    <w:rsid w:val="00E31771"/>
    <w:rsid w:val="00E33BB5"/>
    <w:rsid w:val="00E34A05"/>
    <w:rsid w:val="00E35348"/>
    <w:rsid w:val="00E35E44"/>
    <w:rsid w:val="00E40D95"/>
    <w:rsid w:val="00E418EC"/>
    <w:rsid w:val="00E44344"/>
    <w:rsid w:val="00E460D6"/>
    <w:rsid w:val="00E466E8"/>
    <w:rsid w:val="00E4740E"/>
    <w:rsid w:val="00E47E66"/>
    <w:rsid w:val="00E47F5D"/>
    <w:rsid w:val="00E47FEA"/>
    <w:rsid w:val="00E50455"/>
    <w:rsid w:val="00E5080C"/>
    <w:rsid w:val="00E50E1F"/>
    <w:rsid w:val="00E517F2"/>
    <w:rsid w:val="00E5479C"/>
    <w:rsid w:val="00E54A59"/>
    <w:rsid w:val="00E550A1"/>
    <w:rsid w:val="00E553B0"/>
    <w:rsid w:val="00E5559C"/>
    <w:rsid w:val="00E55B53"/>
    <w:rsid w:val="00E56A2F"/>
    <w:rsid w:val="00E60D32"/>
    <w:rsid w:val="00E64EAB"/>
    <w:rsid w:val="00E6605D"/>
    <w:rsid w:val="00E666FB"/>
    <w:rsid w:val="00E67107"/>
    <w:rsid w:val="00E6742D"/>
    <w:rsid w:val="00E67C9A"/>
    <w:rsid w:val="00E703D1"/>
    <w:rsid w:val="00E70D0C"/>
    <w:rsid w:val="00E714BC"/>
    <w:rsid w:val="00E7265E"/>
    <w:rsid w:val="00E73CFC"/>
    <w:rsid w:val="00E73D3B"/>
    <w:rsid w:val="00E75595"/>
    <w:rsid w:val="00E76069"/>
    <w:rsid w:val="00E76329"/>
    <w:rsid w:val="00E7648E"/>
    <w:rsid w:val="00E819F3"/>
    <w:rsid w:val="00E822D7"/>
    <w:rsid w:val="00E83AD0"/>
    <w:rsid w:val="00E856FE"/>
    <w:rsid w:val="00E85814"/>
    <w:rsid w:val="00E85DF3"/>
    <w:rsid w:val="00E8616F"/>
    <w:rsid w:val="00E861CA"/>
    <w:rsid w:val="00E8690B"/>
    <w:rsid w:val="00E90A7B"/>
    <w:rsid w:val="00E91268"/>
    <w:rsid w:val="00E92DD5"/>
    <w:rsid w:val="00E934EA"/>
    <w:rsid w:val="00E94102"/>
    <w:rsid w:val="00E94F30"/>
    <w:rsid w:val="00E951AA"/>
    <w:rsid w:val="00E96EA3"/>
    <w:rsid w:val="00EA0644"/>
    <w:rsid w:val="00EA190F"/>
    <w:rsid w:val="00EA2482"/>
    <w:rsid w:val="00EA3476"/>
    <w:rsid w:val="00EA5502"/>
    <w:rsid w:val="00EA5553"/>
    <w:rsid w:val="00EA56EA"/>
    <w:rsid w:val="00EA6475"/>
    <w:rsid w:val="00EA7665"/>
    <w:rsid w:val="00EA7A05"/>
    <w:rsid w:val="00EA7DE6"/>
    <w:rsid w:val="00EB0518"/>
    <w:rsid w:val="00EB0954"/>
    <w:rsid w:val="00EB0EED"/>
    <w:rsid w:val="00EB13D6"/>
    <w:rsid w:val="00EB1965"/>
    <w:rsid w:val="00EB6599"/>
    <w:rsid w:val="00EB6817"/>
    <w:rsid w:val="00EC26D8"/>
    <w:rsid w:val="00EC3634"/>
    <w:rsid w:val="00EC6036"/>
    <w:rsid w:val="00EC798E"/>
    <w:rsid w:val="00ED098A"/>
    <w:rsid w:val="00ED11D3"/>
    <w:rsid w:val="00ED210C"/>
    <w:rsid w:val="00ED2849"/>
    <w:rsid w:val="00ED4929"/>
    <w:rsid w:val="00ED685A"/>
    <w:rsid w:val="00ED6CEF"/>
    <w:rsid w:val="00ED753A"/>
    <w:rsid w:val="00ED7F89"/>
    <w:rsid w:val="00EE0C4B"/>
    <w:rsid w:val="00EE2D3F"/>
    <w:rsid w:val="00EE3127"/>
    <w:rsid w:val="00EE4157"/>
    <w:rsid w:val="00EE473A"/>
    <w:rsid w:val="00EE4CFC"/>
    <w:rsid w:val="00EE4EE8"/>
    <w:rsid w:val="00EE735D"/>
    <w:rsid w:val="00EE77F2"/>
    <w:rsid w:val="00EF0529"/>
    <w:rsid w:val="00EF4577"/>
    <w:rsid w:val="00EF46EF"/>
    <w:rsid w:val="00EF4BE8"/>
    <w:rsid w:val="00F011D9"/>
    <w:rsid w:val="00F022F9"/>
    <w:rsid w:val="00F02D98"/>
    <w:rsid w:val="00F03836"/>
    <w:rsid w:val="00F039F5"/>
    <w:rsid w:val="00F0409F"/>
    <w:rsid w:val="00F06478"/>
    <w:rsid w:val="00F065F3"/>
    <w:rsid w:val="00F10006"/>
    <w:rsid w:val="00F10D55"/>
    <w:rsid w:val="00F11B8A"/>
    <w:rsid w:val="00F124C7"/>
    <w:rsid w:val="00F125CF"/>
    <w:rsid w:val="00F12F2D"/>
    <w:rsid w:val="00F13239"/>
    <w:rsid w:val="00F153D6"/>
    <w:rsid w:val="00F1572A"/>
    <w:rsid w:val="00F15AC1"/>
    <w:rsid w:val="00F160C4"/>
    <w:rsid w:val="00F16EC1"/>
    <w:rsid w:val="00F17653"/>
    <w:rsid w:val="00F177BF"/>
    <w:rsid w:val="00F178EA"/>
    <w:rsid w:val="00F21544"/>
    <w:rsid w:val="00F222B0"/>
    <w:rsid w:val="00F22413"/>
    <w:rsid w:val="00F225EF"/>
    <w:rsid w:val="00F233FC"/>
    <w:rsid w:val="00F2376D"/>
    <w:rsid w:val="00F248F6"/>
    <w:rsid w:val="00F24CC7"/>
    <w:rsid w:val="00F271EC"/>
    <w:rsid w:val="00F337A1"/>
    <w:rsid w:val="00F34386"/>
    <w:rsid w:val="00F35923"/>
    <w:rsid w:val="00F35AA6"/>
    <w:rsid w:val="00F41A30"/>
    <w:rsid w:val="00F434AC"/>
    <w:rsid w:val="00F43F8B"/>
    <w:rsid w:val="00F44839"/>
    <w:rsid w:val="00F44FBB"/>
    <w:rsid w:val="00F45E30"/>
    <w:rsid w:val="00F463AF"/>
    <w:rsid w:val="00F501F6"/>
    <w:rsid w:val="00F504EF"/>
    <w:rsid w:val="00F5102B"/>
    <w:rsid w:val="00F55397"/>
    <w:rsid w:val="00F56CD8"/>
    <w:rsid w:val="00F578B6"/>
    <w:rsid w:val="00F60DBA"/>
    <w:rsid w:val="00F6160D"/>
    <w:rsid w:val="00F628A2"/>
    <w:rsid w:val="00F638D9"/>
    <w:rsid w:val="00F64457"/>
    <w:rsid w:val="00F6454C"/>
    <w:rsid w:val="00F651CF"/>
    <w:rsid w:val="00F65EAB"/>
    <w:rsid w:val="00F66896"/>
    <w:rsid w:val="00F67F2C"/>
    <w:rsid w:val="00F71A00"/>
    <w:rsid w:val="00F738F4"/>
    <w:rsid w:val="00F73B56"/>
    <w:rsid w:val="00F73B8B"/>
    <w:rsid w:val="00F7465D"/>
    <w:rsid w:val="00F7487A"/>
    <w:rsid w:val="00F75509"/>
    <w:rsid w:val="00F75FB3"/>
    <w:rsid w:val="00F761BF"/>
    <w:rsid w:val="00F7654A"/>
    <w:rsid w:val="00F77AFE"/>
    <w:rsid w:val="00F80074"/>
    <w:rsid w:val="00F80874"/>
    <w:rsid w:val="00F81072"/>
    <w:rsid w:val="00F81725"/>
    <w:rsid w:val="00F8187A"/>
    <w:rsid w:val="00F82C8E"/>
    <w:rsid w:val="00F83100"/>
    <w:rsid w:val="00F853E7"/>
    <w:rsid w:val="00F87705"/>
    <w:rsid w:val="00F9051A"/>
    <w:rsid w:val="00F916FD"/>
    <w:rsid w:val="00F92136"/>
    <w:rsid w:val="00F92790"/>
    <w:rsid w:val="00F9298C"/>
    <w:rsid w:val="00F932F8"/>
    <w:rsid w:val="00F93310"/>
    <w:rsid w:val="00F95699"/>
    <w:rsid w:val="00F95AAF"/>
    <w:rsid w:val="00F976A5"/>
    <w:rsid w:val="00F97AAB"/>
    <w:rsid w:val="00F97E51"/>
    <w:rsid w:val="00FA01DE"/>
    <w:rsid w:val="00FA0807"/>
    <w:rsid w:val="00FA0D14"/>
    <w:rsid w:val="00FA122F"/>
    <w:rsid w:val="00FA2BB4"/>
    <w:rsid w:val="00FA3960"/>
    <w:rsid w:val="00FA5BB5"/>
    <w:rsid w:val="00FA6398"/>
    <w:rsid w:val="00FA68A8"/>
    <w:rsid w:val="00FB047B"/>
    <w:rsid w:val="00FB1940"/>
    <w:rsid w:val="00FB2424"/>
    <w:rsid w:val="00FB27E8"/>
    <w:rsid w:val="00FB297B"/>
    <w:rsid w:val="00FB2AF4"/>
    <w:rsid w:val="00FB2C26"/>
    <w:rsid w:val="00FB2D9D"/>
    <w:rsid w:val="00FB3393"/>
    <w:rsid w:val="00FB5648"/>
    <w:rsid w:val="00FB5687"/>
    <w:rsid w:val="00FB57AA"/>
    <w:rsid w:val="00FB69DD"/>
    <w:rsid w:val="00FB6D40"/>
    <w:rsid w:val="00FB7AB3"/>
    <w:rsid w:val="00FC017E"/>
    <w:rsid w:val="00FC0CAC"/>
    <w:rsid w:val="00FC2814"/>
    <w:rsid w:val="00FC4D86"/>
    <w:rsid w:val="00FC5FA7"/>
    <w:rsid w:val="00FC6838"/>
    <w:rsid w:val="00FC6B7B"/>
    <w:rsid w:val="00FC77CC"/>
    <w:rsid w:val="00FD029D"/>
    <w:rsid w:val="00FD283A"/>
    <w:rsid w:val="00FD2BB0"/>
    <w:rsid w:val="00FD2CDC"/>
    <w:rsid w:val="00FD320B"/>
    <w:rsid w:val="00FD4B38"/>
    <w:rsid w:val="00FD4D5B"/>
    <w:rsid w:val="00FD6691"/>
    <w:rsid w:val="00FD6AD4"/>
    <w:rsid w:val="00FE152E"/>
    <w:rsid w:val="00FE30FD"/>
    <w:rsid w:val="00FE3194"/>
    <w:rsid w:val="00FE34BE"/>
    <w:rsid w:val="00FE3C75"/>
    <w:rsid w:val="00FE41A9"/>
    <w:rsid w:val="00FE4959"/>
    <w:rsid w:val="00FE5EFC"/>
    <w:rsid w:val="00FE6AD1"/>
    <w:rsid w:val="00FE7C49"/>
    <w:rsid w:val="00FE7D68"/>
    <w:rsid w:val="00FF02BA"/>
    <w:rsid w:val="00FF0635"/>
    <w:rsid w:val="00FF2F63"/>
    <w:rsid w:val="00FF51A1"/>
    <w:rsid w:val="00FF612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ahoma" w:eastAsia="Calibri" w:hAnsi="Tahoma" w:cs="Tahom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494E"/>
    <w:rPr>
      <w:rFonts w:ascii="Times New Roman" w:hAnsi="Times New Roman"/>
      <w:sz w:val="22"/>
      <w:szCs w:val="24"/>
      <w:lang w:val="mk-MK"/>
    </w:rPr>
  </w:style>
  <w:style w:type="paragraph" w:styleId="Heading1">
    <w:name w:val="heading 1"/>
    <w:basedOn w:val="Normal"/>
    <w:next w:val="Normal"/>
    <w:link w:val="Heading1Char"/>
    <w:uiPriority w:val="9"/>
    <w:qFormat/>
    <w:rsid w:val="00E00EF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E00EF8"/>
    <w:pPr>
      <w:keepNext/>
      <w:spacing w:before="240" w:after="60"/>
      <w:outlineLvl w:val="1"/>
    </w:pPr>
    <w:rPr>
      <w:rFonts w:ascii="Cambria" w:eastAsia="Times New Roman" w:hAnsi="Cambria" w:cs="Times New Roman"/>
      <w:b/>
      <w:bCs/>
      <w:i/>
      <w:iCs/>
      <w:sz w:val="28"/>
      <w:szCs w:val="28"/>
    </w:rPr>
  </w:style>
  <w:style w:type="paragraph" w:styleId="Heading3">
    <w:name w:val="heading 3"/>
    <w:basedOn w:val="Heading2"/>
    <w:next w:val="Normal"/>
    <w:link w:val="Heading3Char"/>
    <w:uiPriority w:val="9"/>
    <w:semiHidden/>
    <w:unhideWhenUsed/>
    <w:qFormat/>
    <w:rsid w:val="00E00EF8"/>
    <w:pPr>
      <w:outlineLvl w:val="2"/>
    </w:pPr>
    <w:rPr>
      <w:i w:val="0"/>
      <w:iCs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0EF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sid w:val="00E00EF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semiHidden/>
    <w:rsid w:val="00E00EF8"/>
    <w:rPr>
      <w:rFonts w:ascii="Cambria" w:eastAsia="Times New Roman" w:hAnsi="Cambria" w:cs="Times New Roman"/>
      <w:b/>
      <w:bCs/>
      <w:sz w:val="26"/>
      <w:szCs w:val="26"/>
    </w:rPr>
  </w:style>
  <w:style w:type="paragraph" w:styleId="TOC1">
    <w:name w:val="toc 1"/>
    <w:basedOn w:val="Normal"/>
    <w:next w:val="Normal"/>
    <w:autoRedefine/>
    <w:uiPriority w:val="39"/>
    <w:rsid w:val="00E00EF8"/>
    <w:pPr>
      <w:tabs>
        <w:tab w:val="right" w:leader="dot" w:pos="9072"/>
      </w:tabs>
      <w:spacing w:before="60" w:after="60"/>
    </w:pPr>
    <w:rPr>
      <w:rFonts w:ascii="MAC C Times" w:eastAsia="Times New Roman" w:hAnsi="MAC C Times"/>
      <w:b/>
      <w:noProof/>
      <w:szCs w:val="22"/>
      <w:lang w:val="pl-PL"/>
    </w:rPr>
  </w:style>
  <w:style w:type="paragraph" w:styleId="TOC2">
    <w:name w:val="toc 2"/>
    <w:basedOn w:val="Normal"/>
    <w:next w:val="Normal"/>
    <w:autoRedefine/>
    <w:uiPriority w:val="39"/>
    <w:rsid w:val="00E00EF8"/>
    <w:pPr>
      <w:tabs>
        <w:tab w:val="right" w:leader="dot" w:pos="9072"/>
      </w:tabs>
      <w:ind w:left="238"/>
    </w:pPr>
    <w:rPr>
      <w:rFonts w:ascii="MAC C Times" w:eastAsia="Times New Roman" w:hAnsi="MAC C Times"/>
      <w:noProof/>
      <w:lang w:val="pl-PL"/>
    </w:rPr>
  </w:style>
  <w:style w:type="paragraph" w:styleId="Caption">
    <w:name w:val="caption"/>
    <w:basedOn w:val="Normal"/>
    <w:next w:val="Normal"/>
    <w:uiPriority w:val="35"/>
    <w:unhideWhenUsed/>
    <w:qFormat/>
    <w:rsid w:val="00E00EF8"/>
    <w:rPr>
      <w:b/>
      <w:bCs/>
      <w:sz w:val="20"/>
      <w:szCs w:val="20"/>
    </w:rPr>
  </w:style>
  <w:style w:type="paragraph" w:styleId="ListParagraph">
    <w:name w:val="List Paragraph"/>
    <w:basedOn w:val="Normal"/>
    <w:uiPriority w:val="34"/>
    <w:qFormat/>
    <w:rsid w:val="00D7494E"/>
    <w:pPr>
      <w:ind w:left="720"/>
      <w:contextualSpacing/>
    </w:pPr>
  </w:style>
  <w:style w:type="paragraph" w:customStyle="1" w:styleId="Heading">
    <w:name w:val="Heading"/>
    <w:basedOn w:val="Normal"/>
    <w:next w:val="BodyText"/>
    <w:qFormat/>
    <w:rsid w:val="00D7494E"/>
    <w:pPr>
      <w:widowControl w:val="0"/>
      <w:numPr>
        <w:numId w:val="1"/>
      </w:numPr>
      <w:suppressAutoHyphens/>
      <w:jc w:val="both"/>
    </w:pPr>
    <w:rPr>
      <w:rFonts w:ascii="MAC C Times" w:eastAsia="Arial Unicode MS" w:hAnsi="MAC C Times" w:cs="Arial Unicode MS"/>
      <w:b/>
      <w:i/>
      <w:color w:val="000000"/>
      <w:szCs w:val="22"/>
    </w:rPr>
  </w:style>
  <w:style w:type="paragraph" w:styleId="BodyText">
    <w:name w:val="Body Text"/>
    <w:basedOn w:val="Normal"/>
    <w:link w:val="BodyTextChar"/>
    <w:uiPriority w:val="99"/>
    <w:semiHidden/>
    <w:unhideWhenUsed/>
    <w:rsid w:val="00D7494E"/>
    <w:pPr>
      <w:spacing w:after="120"/>
    </w:pPr>
  </w:style>
  <w:style w:type="character" w:customStyle="1" w:styleId="BodyTextChar">
    <w:name w:val="Body Text Char"/>
    <w:basedOn w:val="DefaultParagraphFont"/>
    <w:link w:val="BodyText"/>
    <w:uiPriority w:val="99"/>
    <w:semiHidden/>
    <w:rsid w:val="00D7494E"/>
    <w:rPr>
      <w:rFonts w:ascii="Times New Roman" w:hAnsi="Times New Roman"/>
      <w:sz w:val="24"/>
      <w:szCs w:val="24"/>
    </w:rPr>
  </w:style>
  <w:style w:type="paragraph" w:styleId="BalloonText">
    <w:name w:val="Balloon Text"/>
    <w:basedOn w:val="Normal"/>
    <w:link w:val="BalloonTextChar"/>
    <w:uiPriority w:val="99"/>
    <w:semiHidden/>
    <w:unhideWhenUsed/>
    <w:rsid w:val="0032374C"/>
    <w:rPr>
      <w:rFonts w:ascii="Tahoma" w:hAnsi="Tahoma"/>
      <w:sz w:val="16"/>
      <w:szCs w:val="16"/>
    </w:rPr>
  </w:style>
  <w:style w:type="character" w:customStyle="1" w:styleId="BalloonTextChar">
    <w:name w:val="Balloon Text Char"/>
    <w:basedOn w:val="DefaultParagraphFont"/>
    <w:link w:val="BalloonText"/>
    <w:uiPriority w:val="99"/>
    <w:semiHidden/>
    <w:rsid w:val="0032374C"/>
    <w:rPr>
      <w:sz w:val="16"/>
      <w:szCs w:val="16"/>
      <w:lang w:val="mk-MK"/>
    </w:rPr>
  </w:style>
  <w:style w:type="paragraph" w:styleId="Header">
    <w:name w:val="header"/>
    <w:basedOn w:val="Normal"/>
    <w:link w:val="HeaderChar"/>
    <w:uiPriority w:val="99"/>
    <w:unhideWhenUsed/>
    <w:rsid w:val="0032374C"/>
    <w:pPr>
      <w:tabs>
        <w:tab w:val="center" w:pos="4680"/>
        <w:tab w:val="right" w:pos="9360"/>
      </w:tabs>
    </w:pPr>
  </w:style>
  <w:style w:type="character" w:customStyle="1" w:styleId="HeaderChar">
    <w:name w:val="Header Char"/>
    <w:basedOn w:val="DefaultParagraphFont"/>
    <w:link w:val="Header"/>
    <w:uiPriority w:val="99"/>
    <w:rsid w:val="0032374C"/>
    <w:rPr>
      <w:rFonts w:ascii="Times New Roman" w:hAnsi="Times New Roman"/>
      <w:lang w:val="mk-MK"/>
    </w:rPr>
  </w:style>
  <w:style w:type="paragraph" w:styleId="Footer">
    <w:name w:val="footer"/>
    <w:basedOn w:val="Normal"/>
    <w:link w:val="FooterChar"/>
    <w:uiPriority w:val="99"/>
    <w:unhideWhenUsed/>
    <w:rsid w:val="0032374C"/>
    <w:pPr>
      <w:tabs>
        <w:tab w:val="center" w:pos="4680"/>
        <w:tab w:val="right" w:pos="9360"/>
      </w:tabs>
    </w:pPr>
  </w:style>
  <w:style w:type="character" w:customStyle="1" w:styleId="FooterChar">
    <w:name w:val="Footer Char"/>
    <w:basedOn w:val="DefaultParagraphFont"/>
    <w:link w:val="Footer"/>
    <w:uiPriority w:val="99"/>
    <w:rsid w:val="0032374C"/>
    <w:rPr>
      <w:rFonts w:ascii="Times New Roman" w:hAnsi="Times New Roman"/>
      <w:lang w:val="mk-MK"/>
    </w:rPr>
  </w:style>
  <w:style w:type="paragraph" w:styleId="FootnoteText">
    <w:name w:val="footnote text"/>
    <w:basedOn w:val="Normal"/>
    <w:link w:val="FootnoteTextChar"/>
    <w:uiPriority w:val="99"/>
    <w:unhideWhenUsed/>
    <w:rsid w:val="004707ED"/>
    <w:pPr>
      <w:spacing w:after="200" w:line="276" w:lineRule="auto"/>
    </w:pPr>
    <w:rPr>
      <w:rFonts w:ascii="Tahoma" w:hAnsi="Tahoma" w:cs="Times New Roman"/>
      <w:sz w:val="20"/>
      <w:szCs w:val="20"/>
      <w:lang w:val="en-US"/>
    </w:rPr>
  </w:style>
  <w:style w:type="character" w:customStyle="1" w:styleId="FootnoteTextChar">
    <w:name w:val="Footnote Text Char"/>
    <w:basedOn w:val="DefaultParagraphFont"/>
    <w:link w:val="FootnoteText"/>
    <w:uiPriority w:val="99"/>
    <w:rsid w:val="004707ED"/>
    <w:rPr>
      <w:rFonts w:cs="Times New Roman"/>
      <w:sz w:val="20"/>
      <w:szCs w:val="20"/>
    </w:rPr>
  </w:style>
  <w:style w:type="character" w:styleId="FootnoteReference">
    <w:name w:val="footnote reference"/>
    <w:basedOn w:val="DefaultParagraphFont"/>
    <w:uiPriority w:val="99"/>
    <w:unhideWhenUsed/>
    <w:rsid w:val="004707ED"/>
    <w:rPr>
      <w:vertAlign w:val="superscript"/>
    </w:rPr>
  </w:style>
  <w:style w:type="paragraph" w:styleId="EndnoteText">
    <w:name w:val="endnote text"/>
    <w:basedOn w:val="Normal"/>
    <w:link w:val="EndnoteTextChar"/>
    <w:uiPriority w:val="99"/>
    <w:semiHidden/>
    <w:unhideWhenUsed/>
    <w:rsid w:val="00E17EA5"/>
    <w:rPr>
      <w:sz w:val="20"/>
      <w:szCs w:val="20"/>
    </w:rPr>
  </w:style>
  <w:style w:type="character" w:customStyle="1" w:styleId="EndnoteTextChar">
    <w:name w:val="Endnote Text Char"/>
    <w:basedOn w:val="DefaultParagraphFont"/>
    <w:link w:val="EndnoteText"/>
    <w:uiPriority w:val="99"/>
    <w:semiHidden/>
    <w:rsid w:val="00E17EA5"/>
    <w:rPr>
      <w:rFonts w:ascii="Times New Roman" w:hAnsi="Times New Roman"/>
      <w:sz w:val="20"/>
      <w:szCs w:val="20"/>
      <w:lang w:val="mk-MK"/>
    </w:rPr>
  </w:style>
  <w:style w:type="character" w:styleId="EndnoteReference">
    <w:name w:val="endnote reference"/>
    <w:basedOn w:val="DefaultParagraphFont"/>
    <w:uiPriority w:val="99"/>
    <w:semiHidden/>
    <w:unhideWhenUsed/>
    <w:rsid w:val="00E17EA5"/>
    <w:rPr>
      <w:vertAlign w:val="superscript"/>
    </w:rPr>
  </w:style>
  <w:style w:type="paragraph" w:styleId="NoSpacing">
    <w:name w:val="No Spacing"/>
    <w:link w:val="NoSpacingChar"/>
    <w:uiPriority w:val="1"/>
    <w:qFormat/>
    <w:rsid w:val="004B2EA0"/>
    <w:rPr>
      <w:rFonts w:ascii="Calibri" w:eastAsia="Times New Roman" w:hAnsi="Calibri" w:cs="Times New Roman"/>
      <w:sz w:val="22"/>
      <w:szCs w:val="22"/>
    </w:rPr>
  </w:style>
  <w:style w:type="character" w:customStyle="1" w:styleId="NoSpacingChar">
    <w:name w:val="No Spacing Char"/>
    <w:basedOn w:val="DefaultParagraphFont"/>
    <w:link w:val="NoSpacing"/>
    <w:uiPriority w:val="1"/>
    <w:rsid w:val="004B2EA0"/>
    <w:rPr>
      <w:rFonts w:ascii="Calibri" w:eastAsia="Times New Roman" w:hAnsi="Calibri" w:cs="Times New Roman"/>
      <w:sz w:val="22"/>
      <w:szCs w:val="22"/>
      <w:lang w:val="en-US" w:eastAsia="en-US" w:bidi="ar-SA"/>
    </w:rPr>
  </w:style>
  <w:style w:type="paragraph" w:styleId="TOCHeading">
    <w:name w:val="TOC Heading"/>
    <w:basedOn w:val="Heading1"/>
    <w:next w:val="Normal"/>
    <w:uiPriority w:val="39"/>
    <w:semiHidden/>
    <w:unhideWhenUsed/>
    <w:qFormat/>
    <w:rsid w:val="000F4795"/>
    <w:pPr>
      <w:keepLines/>
      <w:spacing w:before="480" w:after="0" w:line="276" w:lineRule="auto"/>
      <w:outlineLvl w:val="9"/>
    </w:pPr>
    <w:rPr>
      <w:color w:val="A5A5A5"/>
      <w:kern w:val="0"/>
      <w:sz w:val="28"/>
      <w:szCs w:val="28"/>
      <w:lang w:val="en-US"/>
    </w:rPr>
  </w:style>
  <w:style w:type="table" w:styleId="TableGrid">
    <w:name w:val="Table Grid"/>
    <w:basedOn w:val="TableNormal"/>
    <w:uiPriority w:val="59"/>
    <w:rsid w:val="003519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55B75"/>
    <w:rPr>
      <w:sz w:val="16"/>
      <w:szCs w:val="16"/>
    </w:rPr>
  </w:style>
  <w:style w:type="paragraph" w:styleId="CommentText">
    <w:name w:val="annotation text"/>
    <w:basedOn w:val="Normal"/>
    <w:link w:val="CommentTextChar"/>
    <w:uiPriority w:val="99"/>
    <w:semiHidden/>
    <w:unhideWhenUsed/>
    <w:rsid w:val="00955B75"/>
    <w:rPr>
      <w:sz w:val="20"/>
      <w:szCs w:val="20"/>
    </w:rPr>
  </w:style>
  <w:style w:type="character" w:customStyle="1" w:styleId="CommentTextChar">
    <w:name w:val="Comment Text Char"/>
    <w:basedOn w:val="DefaultParagraphFont"/>
    <w:link w:val="CommentText"/>
    <w:uiPriority w:val="99"/>
    <w:semiHidden/>
    <w:rsid w:val="00955B75"/>
    <w:rPr>
      <w:rFonts w:ascii="Times New Roman" w:hAnsi="Times New Roman"/>
      <w:sz w:val="20"/>
      <w:szCs w:val="20"/>
      <w:lang w:val="mk-MK"/>
    </w:rPr>
  </w:style>
  <w:style w:type="paragraph" w:styleId="TableofFigures">
    <w:name w:val="table of figures"/>
    <w:basedOn w:val="Normal"/>
    <w:next w:val="Normal"/>
    <w:uiPriority w:val="99"/>
    <w:semiHidden/>
    <w:unhideWhenUsed/>
    <w:rsid w:val="00101B0A"/>
  </w:style>
  <w:style w:type="paragraph" w:styleId="CommentSubject">
    <w:name w:val="annotation subject"/>
    <w:basedOn w:val="CommentText"/>
    <w:next w:val="CommentText"/>
    <w:link w:val="CommentSubjectChar"/>
    <w:uiPriority w:val="99"/>
    <w:semiHidden/>
    <w:unhideWhenUsed/>
    <w:rsid w:val="00454608"/>
    <w:rPr>
      <w:b/>
      <w:bCs/>
    </w:rPr>
  </w:style>
  <w:style w:type="character" w:customStyle="1" w:styleId="CommentSubjectChar">
    <w:name w:val="Comment Subject Char"/>
    <w:basedOn w:val="CommentTextChar"/>
    <w:link w:val="CommentSubject"/>
    <w:uiPriority w:val="99"/>
    <w:semiHidden/>
    <w:rsid w:val="00454608"/>
    <w:rPr>
      <w:rFonts w:ascii="Times New Roman" w:hAnsi="Times New Roman"/>
      <w:b/>
      <w:bCs/>
      <w:sz w:val="20"/>
      <w:szCs w:val="20"/>
      <w:lang w:val="mk-MK"/>
    </w:rPr>
  </w:style>
  <w:style w:type="character" w:styleId="Hyperlink">
    <w:name w:val="Hyperlink"/>
    <w:basedOn w:val="DefaultParagraphFont"/>
    <w:uiPriority w:val="99"/>
    <w:unhideWhenUsed/>
    <w:rsid w:val="000F2FDD"/>
    <w:rPr>
      <w:color w:val="005390"/>
      <w:u w:val="single"/>
    </w:rPr>
  </w:style>
  <w:style w:type="paragraph" w:styleId="Revision">
    <w:name w:val="Revision"/>
    <w:hidden/>
    <w:uiPriority w:val="99"/>
    <w:semiHidden/>
    <w:rsid w:val="00C1648C"/>
    <w:rPr>
      <w:rFonts w:ascii="Times New Roman" w:hAnsi="Times New Roman"/>
      <w:sz w:val="22"/>
      <w:szCs w:val="24"/>
      <w:lang w:val="mk-MK"/>
    </w:rPr>
  </w:style>
  <w:style w:type="paragraph" w:customStyle="1" w:styleId="Default">
    <w:name w:val="Default"/>
    <w:rsid w:val="004D0182"/>
    <w:pPr>
      <w:autoSpaceDE w:val="0"/>
      <w:autoSpaceDN w:val="0"/>
      <w:adjustRightInd w:val="0"/>
    </w:pPr>
    <w:rPr>
      <w:color w:val="000000"/>
      <w:sz w:val="24"/>
      <w:szCs w:val="24"/>
      <w:lang w:val="mk-M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ahoma" w:eastAsia="Calibri" w:hAnsi="Tahoma" w:cs="Tahoma"/>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494E"/>
    <w:rPr>
      <w:rFonts w:ascii="Times New Roman" w:hAnsi="Times New Roman"/>
      <w:sz w:val="22"/>
      <w:szCs w:val="24"/>
      <w:lang w:val="mk-MK"/>
    </w:rPr>
  </w:style>
  <w:style w:type="paragraph" w:styleId="Heading1">
    <w:name w:val="heading 1"/>
    <w:basedOn w:val="Normal"/>
    <w:next w:val="Normal"/>
    <w:link w:val="Heading1Char"/>
    <w:uiPriority w:val="9"/>
    <w:qFormat/>
    <w:rsid w:val="00E00EF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E00EF8"/>
    <w:pPr>
      <w:keepNext/>
      <w:spacing w:before="240" w:after="60"/>
      <w:outlineLvl w:val="1"/>
    </w:pPr>
    <w:rPr>
      <w:rFonts w:ascii="Cambria" w:eastAsia="Times New Roman" w:hAnsi="Cambria" w:cs="Times New Roman"/>
      <w:b/>
      <w:bCs/>
      <w:i/>
      <w:iCs/>
      <w:sz w:val="28"/>
      <w:szCs w:val="28"/>
    </w:rPr>
  </w:style>
  <w:style w:type="paragraph" w:styleId="Heading3">
    <w:name w:val="heading 3"/>
    <w:basedOn w:val="Heading2"/>
    <w:next w:val="Normal"/>
    <w:link w:val="Heading3Char"/>
    <w:uiPriority w:val="9"/>
    <w:semiHidden/>
    <w:unhideWhenUsed/>
    <w:qFormat/>
    <w:rsid w:val="00E00EF8"/>
    <w:pPr>
      <w:outlineLvl w:val="2"/>
    </w:pPr>
    <w:rPr>
      <w:i w:val="0"/>
      <w:iCs w:val="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0EF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sid w:val="00E00EF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semiHidden/>
    <w:rsid w:val="00E00EF8"/>
    <w:rPr>
      <w:rFonts w:ascii="Cambria" w:eastAsia="Times New Roman" w:hAnsi="Cambria" w:cs="Times New Roman"/>
      <w:b/>
      <w:bCs/>
      <w:sz w:val="26"/>
      <w:szCs w:val="26"/>
    </w:rPr>
  </w:style>
  <w:style w:type="paragraph" w:styleId="TOC1">
    <w:name w:val="toc 1"/>
    <w:basedOn w:val="Normal"/>
    <w:next w:val="Normal"/>
    <w:autoRedefine/>
    <w:uiPriority w:val="39"/>
    <w:rsid w:val="00E00EF8"/>
    <w:pPr>
      <w:tabs>
        <w:tab w:val="right" w:leader="dot" w:pos="9072"/>
      </w:tabs>
      <w:spacing w:before="60" w:after="60"/>
    </w:pPr>
    <w:rPr>
      <w:rFonts w:ascii="MAC C Times" w:eastAsia="Times New Roman" w:hAnsi="MAC C Times"/>
      <w:b/>
      <w:noProof/>
      <w:szCs w:val="22"/>
      <w:lang w:val="pl-PL"/>
    </w:rPr>
  </w:style>
  <w:style w:type="paragraph" w:styleId="TOC2">
    <w:name w:val="toc 2"/>
    <w:basedOn w:val="Normal"/>
    <w:next w:val="Normal"/>
    <w:autoRedefine/>
    <w:uiPriority w:val="39"/>
    <w:rsid w:val="00E00EF8"/>
    <w:pPr>
      <w:tabs>
        <w:tab w:val="right" w:leader="dot" w:pos="9072"/>
      </w:tabs>
      <w:ind w:left="238"/>
    </w:pPr>
    <w:rPr>
      <w:rFonts w:ascii="MAC C Times" w:eastAsia="Times New Roman" w:hAnsi="MAC C Times"/>
      <w:noProof/>
      <w:lang w:val="pl-PL"/>
    </w:rPr>
  </w:style>
  <w:style w:type="paragraph" w:styleId="Caption">
    <w:name w:val="caption"/>
    <w:basedOn w:val="Normal"/>
    <w:next w:val="Normal"/>
    <w:uiPriority w:val="35"/>
    <w:unhideWhenUsed/>
    <w:qFormat/>
    <w:rsid w:val="00E00EF8"/>
    <w:rPr>
      <w:b/>
      <w:bCs/>
      <w:sz w:val="20"/>
      <w:szCs w:val="20"/>
    </w:rPr>
  </w:style>
  <w:style w:type="paragraph" w:styleId="ListParagraph">
    <w:name w:val="List Paragraph"/>
    <w:basedOn w:val="Normal"/>
    <w:uiPriority w:val="34"/>
    <w:qFormat/>
    <w:rsid w:val="00D7494E"/>
    <w:pPr>
      <w:ind w:left="720"/>
      <w:contextualSpacing/>
    </w:pPr>
  </w:style>
  <w:style w:type="paragraph" w:customStyle="1" w:styleId="Heading">
    <w:name w:val="Heading"/>
    <w:basedOn w:val="Normal"/>
    <w:next w:val="BodyText"/>
    <w:qFormat/>
    <w:rsid w:val="00D7494E"/>
    <w:pPr>
      <w:widowControl w:val="0"/>
      <w:numPr>
        <w:numId w:val="1"/>
      </w:numPr>
      <w:suppressAutoHyphens/>
      <w:jc w:val="both"/>
    </w:pPr>
    <w:rPr>
      <w:rFonts w:ascii="MAC C Times" w:eastAsia="Arial Unicode MS" w:hAnsi="MAC C Times" w:cs="Arial Unicode MS"/>
      <w:b/>
      <w:i/>
      <w:color w:val="000000"/>
      <w:szCs w:val="22"/>
    </w:rPr>
  </w:style>
  <w:style w:type="paragraph" w:styleId="BodyText">
    <w:name w:val="Body Text"/>
    <w:basedOn w:val="Normal"/>
    <w:link w:val="BodyTextChar"/>
    <w:uiPriority w:val="99"/>
    <w:semiHidden/>
    <w:unhideWhenUsed/>
    <w:rsid w:val="00D7494E"/>
    <w:pPr>
      <w:spacing w:after="120"/>
    </w:pPr>
  </w:style>
  <w:style w:type="character" w:customStyle="1" w:styleId="BodyTextChar">
    <w:name w:val="Body Text Char"/>
    <w:basedOn w:val="DefaultParagraphFont"/>
    <w:link w:val="BodyText"/>
    <w:uiPriority w:val="99"/>
    <w:semiHidden/>
    <w:rsid w:val="00D7494E"/>
    <w:rPr>
      <w:rFonts w:ascii="Times New Roman" w:hAnsi="Times New Roman"/>
      <w:sz w:val="24"/>
      <w:szCs w:val="24"/>
    </w:rPr>
  </w:style>
  <w:style w:type="paragraph" w:styleId="BalloonText">
    <w:name w:val="Balloon Text"/>
    <w:basedOn w:val="Normal"/>
    <w:link w:val="BalloonTextChar"/>
    <w:uiPriority w:val="99"/>
    <w:semiHidden/>
    <w:unhideWhenUsed/>
    <w:rsid w:val="0032374C"/>
    <w:rPr>
      <w:rFonts w:ascii="Tahoma" w:hAnsi="Tahoma"/>
      <w:sz w:val="16"/>
      <w:szCs w:val="16"/>
    </w:rPr>
  </w:style>
  <w:style w:type="character" w:customStyle="1" w:styleId="BalloonTextChar">
    <w:name w:val="Balloon Text Char"/>
    <w:basedOn w:val="DefaultParagraphFont"/>
    <w:link w:val="BalloonText"/>
    <w:uiPriority w:val="99"/>
    <w:semiHidden/>
    <w:rsid w:val="0032374C"/>
    <w:rPr>
      <w:sz w:val="16"/>
      <w:szCs w:val="16"/>
      <w:lang w:val="mk-MK"/>
    </w:rPr>
  </w:style>
  <w:style w:type="paragraph" w:styleId="Header">
    <w:name w:val="header"/>
    <w:basedOn w:val="Normal"/>
    <w:link w:val="HeaderChar"/>
    <w:uiPriority w:val="99"/>
    <w:unhideWhenUsed/>
    <w:rsid w:val="0032374C"/>
    <w:pPr>
      <w:tabs>
        <w:tab w:val="center" w:pos="4680"/>
        <w:tab w:val="right" w:pos="9360"/>
      </w:tabs>
    </w:pPr>
  </w:style>
  <w:style w:type="character" w:customStyle="1" w:styleId="HeaderChar">
    <w:name w:val="Header Char"/>
    <w:basedOn w:val="DefaultParagraphFont"/>
    <w:link w:val="Header"/>
    <w:uiPriority w:val="99"/>
    <w:rsid w:val="0032374C"/>
    <w:rPr>
      <w:rFonts w:ascii="Times New Roman" w:hAnsi="Times New Roman"/>
      <w:lang w:val="mk-MK"/>
    </w:rPr>
  </w:style>
  <w:style w:type="paragraph" w:styleId="Footer">
    <w:name w:val="footer"/>
    <w:basedOn w:val="Normal"/>
    <w:link w:val="FooterChar"/>
    <w:uiPriority w:val="99"/>
    <w:unhideWhenUsed/>
    <w:rsid w:val="0032374C"/>
    <w:pPr>
      <w:tabs>
        <w:tab w:val="center" w:pos="4680"/>
        <w:tab w:val="right" w:pos="9360"/>
      </w:tabs>
    </w:pPr>
  </w:style>
  <w:style w:type="character" w:customStyle="1" w:styleId="FooterChar">
    <w:name w:val="Footer Char"/>
    <w:basedOn w:val="DefaultParagraphFont"/>
    <w:link w:val="Footer"/>
    <w:uiPriority w:val="99"/>
    <w:rsid w:val="0032374C"/>
    <w:rPr>
      <w:rFonts w:ascii="Times New Roman" w:hAnsi="Times New Roman"/>
      <w:lang w:val="mk-MK"/>
    </w:rPr>
  </w:style>
  <w:style w:type="paragraph" w:styleId="FootnoteText">
    <w:name w:val="footnote text"/>
    <w:basedOn w:val="Normal"/>
    <w:link w:val="FootnoteTextChar"/>
    <w:uiPriority w:val="99"/>
    <w:unhideWhenUsed/>
    <w:rsid w:val="004707ED"/>
    <w:pPr>
      <w:spacing w:after="200" w:line="276" w:lineRule="auto"/>
    </w:pPr>
    <w:rPr>
      <w:rFonts w:ascii="Tahoma" w:hAnsi="Tahoma" w:cs="Times New Roman"/>
      <w:sz w:val="20"/>
      <w:szCs w:val="20"/>
      <w:lang w:val="en-US"/>
    </w:rPr>
  </w:style>
  <w:style w:type="character" w:customStyle="1" w:styleId="FootnoteTextChar">
    <w:name w:val="Footnote Text Char"/>
    <w:basedOn w:val="DefaultParagraphFont"/>
    <w:link w:val="FootnoteText"/>
    <w:uiPriority w:val="99"/>
    <w:rsid w:val="004707ED"/>
    <w:rPr>
      <w:rFonts w:cs="Times New Roman"/>
      <w:sz w:val="20"/>
      <w:szCs w:val="20"/>
    </w:rPr>
  </w:style>
  <w:style w:type="character" w:styleId="FootnoteReference">
    <w:name w:val="footnote reference"/>
    <w:basedOn w:val="DefaultParagraphFont"/>
    <w:uiPriority w:val="99"/>
    <w:unhideWhenUsed/>
    <w:rsid w:val="004707ED"/>
    <w:rPr>
      <w:vertAlign w:val="superscript"/>
    </w:rPr>
  </w:style>
  <w:style w:type="paragraph" w:styleId="EndnoteText">
    <w:name w:val="endnote text"/>
    <w:basedOn w:val="Normal"/>
    <w:link w:val="EndnoteTextChar"/>
    <w:uiPriority w:val="99"/>
    <w:semiHidden/>
    <w:unhideWhenUsed/>
    <w:rsid w:val="00E17EA5"/>
    <w:rPr>
      <w:sz w:val="20"/>
      <w:szCs w:val="20"/>
    </w:rPr>
  </w:style>
  <w:style w:type="character" w:customStyle="1" w:styleId="EndnoteTextChar">
    <w:name w:val="Endnote Text Char"/>
    <w:basedOn w:val="DefaultParagraphFont"/>
    <w:link w:val="EndnoteText"/>
    <w:uiPriority w:val="99"/>
    <w:semiHidden/>
    <w:rsid w:val="00E17EA5"/>
    <w:rPr>
      <w:rFonts w:ascii="Times New Roman" w:hAnsi="Times New Roman"/>
      <w:sz w:val="20"/>
      <w:szCs w:val="20"/>
      <w:lang w:val="mk-MK"/>
    </w:rPr>
  </w:style>
  <w:style w:type="character" w:styleId="EndnoteReference">
    <w:name w:val="endnote reference"/>
    <w:basedOn w:val="DefaultParagraphFont"/>
    <w:uiPriority w:val="99"/>
    <w:semiHidden/>
    <w:unhideWhenUsed/>
    <w:rsid w:val="00E17EA5"/>
    <w:rPr>
      <w:vertAlign w:val="superscript"/>
    </w:rPr>
  </w:style>
  <w:style w:type="paragraph" w:styleId="NoSpacing">
    <w:name w:val="No Spacing"/>
    <w:link w:val="NoSpacingChar"/>
    <w:uiPriority w:val="1"/>
    <w:qFormat/>
    <w:rsid w:val="004B2EA0"/>
    <w:rPr>
      <w:rFonts w:ascii="Calibri" w:eastAsia="Times New Roman" w:hAnsi="Calibri" w:cs="Times New Roman"/>
      <w:sz w:val="22"/>
      <w:szCs w:val="22"/>
    </w:rPr>
  </w:style>
  <w:style w:type="character" w:customStyle="1" w:styleId="NoSpacingChar">
    <w:name w:val="No Spacing Char"/>
    <w:basedOn w:val="DefaultParagraphFont"/>
    <w:link w:val="NoSpacing"/>
    <w:uiPriority w:val="1"/>
    <w:rsid w:val="004B2EA0"/>
    <w:rPr>
      <w:rFonts w:ascii="Calibri" w:eastAsia="Times New Roman" w:hAnsi="Calibri" w:cs="Times New Roman"/>
      <w:sz w:val="22"/>
      <w:szCs w:val="22"/>
      <w:lang w:val="en-US" w:eastAsia="en-US" w:bidi="ar-SA"/>
    </w:rPr>
  </w:style>
  <w:style w:type="paragraph" w:styleId="TOCHeading">
    <w:name w:val="TOC Heading"/>
    <w:basedOn w:val="Heading1"/>
    <w:next w:val="Normal"/>
    <w:uiPriority w:val="39"/>
    <w:semiHidden/>
    <w:unhideWhenUsed/>
    <w:qFormat/>
    <w:rsid w:val="000F4795"/>
    <w:pPr>
      <w:keepLines/>
      <w:spacing w:before="480" w:after="0" w:line="276" w:lineRule="auto"/>
      <w:outlineLvl w:val="9"/>
    </w:pPr>
    <w:rPr>
      <w:color w:val="A5A5A5"/>
      <w:kern w:val="0"/>
      <w:sz w:val="28"/>
      <w:szCs w:val="28"/>
      <w:lang w:val="en-US"/>
    </w:rPr>
  </w:style>
  <w:style w:type="table" w:styleId="TableGrid">
    <w:name w:val="Table Grid"/>
    <w:basedOn w:val="TableNormal"/>
    <w:uiPriority w:val="59"/>
    <w:rsid w:val="003519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55B75"/>
    <w:rPr>
      <w:sz w:val="16"/>
      <w:szCs w:val="16"/>
    </w:rPr>
  </w:style>
  <w:style w:type="paragraph" w:styleId="CommentText">
    <w:name w:val="annotation text"/>
    <w:basedOn w:val="Normal"/>
    <w:link w:val="CommentTextChar"/>
    <w:uiPriority w:val="99"/>
    <w:semiHidden/>
    <w:unhideWhenUsed/>
    <w:rsid w:val="00955B75"/>
    <w:rPr>
      <w:sz w:val="20"/>
      <w:szCs w:val="20"/>
    </w:rPr>
  </w:style>
  <w:style w:type="character" w:customStyle="1" w:styleId="CommentTextChar">
    <w:name w:val="Comment Text Char"/>
    <w:basedOn w:val="DefaultParagraphFont"/>
    <w:link w:val="CommentText"/>
    <w:uiPriority w:val="99"/>
    <w:semiHidden/>
    <w:rsid w:val="00955B75"/>
    <w:rPr>
      <w:rFonts w:ascii="Times New Roman" w:hAnsi="Times New Roman"/>
      <w:sz w:val="20"/>
      <w:szCs w:val="20"/>
      <w:lang w:val="mk-MK"/>
    </w:rPr>
  </w:style>
  <w:style w:type="paragraph" w:styleId="TableofFigures">
    <w:name w:val="table of figures"/>
    <w:basedOn w:val="Normal"/>
    <w:next w:val="Normal"/>
    <w:uiPriority w:val="99"/>
    <w:semiHidden/>
    <w:unhideWhenUsed/>
    <w:rsid w:val="00101B0A"/>
  </w:style>
  <w:style w:type="paragraph" w:styleId="CommentSubject">
    <w:name w:val="annotation subject"/>
    <w:basedOn w:val="CommentText"/>
    <w:next w:val="CommentText"/>
    <w:link w:val="CommentSubjectChar"/>
    <w:uiPriority w:val="99"/>
    <w:semiHidden/>
    <w:unhideWhenUsed/>
    <w:rsid w:val="00454608"/>
    <w:rPr>
      <w:b/>
      <w:bCs/>
    </w:rPr>
  </w:style>
  <w:style w:type="character" w:customStyle="1" w:styleId="CommentSubjectChar">
    <w:name w:val="Comment Subject Char"/>
    <w:basedOn w:val="CommentTextChar"/>
    <w:link w:val="CommentSubject"/>
    <w:uiPriority w:val="99"/>
    <w:semiHidden/>
    <w:rsid w:val="00454608"/>
    <w:rPr>
      <w:rFonts w:ascii="Times New Roman" w:hAnsi="Times New Roman"/>
      <w:b/>
      <w:bCs/>
      <w:sz w:val="20"/>
      <w:szCs w:val="20"/>
      <w:lang w:val="mk-MK"/>
    </w:rPr>
  </w:style>
  <w:style w:type="character" w:styleId="Hyperlink">
    <w:name w:val="Hyperlink"/>
    <w:basedOn w:val="DefaultParagraphFont"/>
    <w:uiPriority w:val="99"/>
    <w:unhideWhenUsed/>
    <w:rsid w:val="000F2FDD"/>
    <w:rPr>
      <w:color w:val="005390"/>
      <w:u w:val="single"/>
    </w:rPr>
  </w:style>
  <w:style w:type="paragraph" w:styleId="Revision">
    <w:name w:val="Revision"/>
    <w:hidden/>
    <w:uiPriority w:val="99"/>
    <w:semiHidden/>
    <w:rsid w:val="00C1648C"/>
    <w:rPr>
      <w:rFonts w:ascii="Times New Roman" w:hAnsi="Times New Roman"/>
      <w:sz w:val="22"/>
      <w:szCs w:val="24"/>
      <w:lang w:val="mk-MK"/>
    </w:rPr>
  </w:style>
  <w:style w:type="paragraph" w:customStyle="1" w:styleId="Default">
    <w:name w:val="Default"/>
    <w:rsid w:val="004D0182"/>
    <w:pPr>
      <w:autoSpaceDE w:val="0"/>
      <w:autoSpaceDN w:val="0"/>
      <w:adjustRightInd w:val="0"/>
    </w:pPr>
    <w:rPr>
      <w:color w:val="000000"/>
      <w:sz w:val="24"/>
      <w:szCs w:val="24"/>
      <w:lang w:val="mk-MK"/>
    </w:rPr>
  </w:style>
</w:styles>
</file>

<file path=word/webSettings.xml><?xml version="1.0" encoding="utf-8"?>
<w:webSettings xmlns:r="http://schemas.openxmlformats.org/officeDocument/2006/relationships" xmlns:w="http://schemas.openxmlformats.org/wordprocessingml/2006/main">
  <w:divs>
    <w:div w:id="25450772">
      <w:bodyDiv w:val="1"/>
      <w:marLeft w:val="0"/>
      <w:marRight w:val="0"/>
      <w:marTop w:val="0"/>
      <w:marBottom w:val="0"/>
      <w:divBdr>
        <w:top w:val="none" w:sz="0" w:space="0" w:color="auto"/>
        <w:left w:val="none" w:sz="0" w:space="0" w:color="auto"/>
        <w:bottom w:val="none" w:sz="0" w:space="0" w:color="auto"/>
        <w:right w:val="none" w:sz="0" w:space="0" w:color="auto"/>
      </w:divBdr>
    </w:div>
    <w:div w:id="309748594">
      <w:bodyDiv w:val="1"/>
      <w:marLeft w:val="0"/>
      <w:marRight w:val="0"/>
      <w:marTop w:val="0"/>
      <w:marBottom w:val="0"/>
      <w:divBdr>
        <w:top w:val="none" w:sz="0" w:space="0" w:color="auto"/>
        <w:left w:val="none" w:sz="0" w:space="0" w:color="auto"/>
        <w:bottom w:val="none" w:sz="0" w:space="0" w:color="auto"/>
        <w:right w:val="none" w:sz="0" w:space="0" w:color="auto"/>
      </w:divBdr>
    </w:div>
    <w:div w:id="1057583484">
      <w:bodyDiv w:val="1"/>
      <w:marLeft w:val="0"/>
      <w:marRight w:val="0"/>
      <w:marTop w:val="0"/>
      <w:marBottom w:val="0"/>
      <w:divBdr>
        <w:top w:val="none" w:sz="0" w:space="0" w:color="auto"/>
        <w:left w:val="none" w:sz="0" w:space="0" w:color="auto"/>
        <w:bottom w:val="none" w:sz="0" w:space="0" w:color="auto"/>
        <w:right w:val="none" w:sz="0" w:space="0" w:color="auto"/>
      </w:divBdr>
    </w:div>
    <w:div w:id="1426070420">
      <w:bodyDiv w:val="1"/>
      <w:marLeft w:val="0"/>
      <w:marRight w:val="0"/>
      <w:marTop w:val="0"/>
      <w:marBottom w:val="0"/>
      <w:divBdr>
        <w:top w:val="none" w:sz="0" w:space="0" w:color="auto"/>
        <w:left w:val="none" w:sz="0" w:space="0" w:color="auto"/>
        <w:bottom w:val="none" w:sz="0" w:space="0" w:color="auto"/>
        <w:right w:val="none" w:sz="0" w:space="0" w:color="auto"/>
      </w:divBdr>
    </w:div>
    <w:div w:id="1718239816">
      <w:bodyDiv w:val="1"/>
      <w:marLeft w:val="0"/>
      <w:marRight w:val="0"/>
      <w:marTop w:val="0"/>
      <w:marBottom w:val="0"/>
      <w:divBdr>
        <w:top w:val="none" w:sz="0" w:space="0" w:color="auto"/>
        <w:left w:val="none" w:sz="0" w:space="0" w:color="auto"/>
        <w:bottom w:val="none" w:sz="0" w:space="0" w:color="auto"/>
        <w:right w:val="none" w:sz="0" w:space="0" w:color="auto"/>
      </w:divBdr>
    </w:div>
    <w:div w:id="1724014045">
      <w:bodyDiv w:val="1"/>
      <w:marLeft w:val="0"/>
      <w:marRight w:val="0"/>
      <w:marTop w:val="0"/>
      <w:marBottom w:val="0"/>
      <w:divBdr>
        <w:top w:val="none" w:sz="0" w:space="0" w:color="auto"/>
        <w:left w:val="none" w:sz="0" w:space="0" w:color="auto"/>
        <w:bottom w:val="none" w:sz="0" w:space="0" w:color="auto"/>
        <w:right w:val="none" w:sz="0" w:space="0" w:color="auto"/>
      </w:divBdr>
    </w:div>
    <w:div w:id="1739790225">
      <w:bodyDiv w:val="1"/>
      <w:marLeft w:val="0"/>
      <w:marRight w:val="0"/>
      <w:marTop w:val="0"/>
      <w:marBottom w:val="0"/>
      <w:divBdr>
        <w:top w:val="none" w:sz="0" w:space="0" w:color="auto"/>
        <w:left w:val="none" w:sz="0" w:space="0" w:color="auto"/>
        <w:bottom w:val="none" w:sz="0" w:space="0" w:color="auto"/>
        <w:right w:val="none" w:sz="0" w:space="0" w:color="auto"/>
      </w:divBdr>
    </w:div>
    <w:div w:id="1958675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3.emf"/><Relationship Id="rId39" Type="http://schemas.openxmlformats.org/officeDocument/2006/relationships/image" Target="media/image25.emf"/><Relationship Id="rId21" Type="http://schemas.openxmlformats.org/officeDocument/2006/relationships/image" Target="media/image8.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oter" Target="footer1.xml"/><Relationship Id="rId29" Type="http://schemas.openxmlformats.org/officeDocument/2006/relationships/image" Target="media/image16.emf"/><Relationship Id="rId41" Type="http://schemas.openxmlformats.org/officeDocument/2006/relationships/image" Target="media/image27.emf"/><Relationship Id="rId54" Type="http://schemas.openxmlformats.org/officeDocument/2006/relationships/image" Target="media/image39.emf"/><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2.emf"/><Relationship Id="rId49" Type="http://schemas.openxmlformats.org/officeDocument/2006/relationships/image" Target="media/image34.emf"/><Relationship Id="rId57" Type="http://schemas.openxmlformats.org/officeDocument/2006/relationships/image" Target="media/image42.emf"/><Relationship Id="rId61" Type="http://schemas.openxmlformats.org/officeDocument/2006/relationships/header" Target="header5.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7.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microsoft.com/office/2007/relationships/stylesWithEffects" Target="stylesWithEffect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header" Target="header3.xml"/><Relationship Id="rId35" Type="http://schemas.openxmlformats.org/officeDocument/2006/relationships/image" Target="media/image21.emf"/><Relationship Id="rId43" Type="http://schemas.openxmlformats.org/officeDocument/2006/relationships/header" Target="header4.xml"/><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6.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12.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1.emf"/><Relationship Id="rId59" Type="http://schemas.openxmlformats.org/officeDocument/2006/relationships/image" Target="media/image44.emf"/></Relationships>
</file>

<file path=word/_rels/footnotes.xml.rels><?xml version="1.0" encoding="UTF-8" standalone="yes"?>
<Relationships xmlns="http://schemas.openxmlformats.org/package/2006/relationships"><Relationship Id="rId2" Type="http://schemas.openxmlformats.org/officeDocument/2006/relationships/hyperlink" Target="http://www.fao.org/giews/countrybrief/country.jsp?code=SRB" TargetMode="External"/><Relationship Id="rId1" Type="http://schemas.openxmlformats.org/officeDocument/2006/relationships/hyperlink" Target="http://www.imf.org/external/np/res/commod/pdf/monthly/07011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3E7FEA33AA65384BBC8EA03AB4347C2D" ma:contentTypeVersion="0" ma:contentTypeDescription="Креирај нов документ." ma:contentTypeScope="" ma:versionID="77de58bdbab2f7fb08471e1828fe0fbe">
  <xsd:schema xmlns:xsd="http://www.w3.org/2001/XMLSchema" xmlns:p="http://schemas.microsoft.com/office/2006/metadata/properties" targetNamespace="http://schemas.microsoft.com/office/2006/metadata/properties" ma:root="true" ma:fieldsID="cbd8e653fed0b352bb2996bf72a0736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Вид содржина" ma:readOnly="true"/>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MLA.XSL" StyleName="MLA Sixth Edition"/>
</file>

<file path=customXml/itemProps1.xml><?xml version="1.0" encoding="utf-8"?>
<ds:datastoreItem xmlns:ds="http://schemas.openxmlformats.org/officeDocument/2006/customXml" ds:itemID="{A42C332E-36EE-45D4-BD0C-FEA01CD037B4}">
  <ds:schemaRefs>
    <ds:schemaRef ds:uri="http://schemas.microsoft.com/sharepoint/v3/contenttype/forms"/>
  </ds:schemaRefs>
</ds:datastoreItem>
</file>

<file path=customXml/itemProps2.xml><?xml version="1.0" encoding="utf-8"?>
<ds:datastoreItem xmlns:ds="http://schemas.openxmlformats.org/officeDocument/2006/customXml" ds:itemID="{208064DC-9D67-453D-A534-B761E80F64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5FA97D43-83DE-4889-8A9F-6EE565342CE9}">
  <ds:schemaRefs>
    <ds:schemaRef ds:uri="http://schemas.microsoft.com/office/2006/metadata/properties"/>
  </ds:schemaRefs>
</ds:datastoreItem>
</file>

<file path=customXml/itemProps4.xml><?xml version="1.0" encoding="utf-8"?>
<ds:datastoreItem xmlns:ds="http://schemas.openxmlformats.org/officeDocument/2006/customXml" ds:itemID="{1ACE45F7-F7C1-4290-B7E7-1F17AD796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33</Pages>
  <Words>6399</Words>
  <Characters>36478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МЕСЕЧНА ИНФОРМАЦИЈА</vt:lpstr>
    </vt:vector>
  </TitlesOfParts>
  <Company>НАРОДНА БАНКА НА РЕПУБЛИКА МАКЕДОНИЈА</Company>
  <LinksUpToDate>false</LinksUpToDate>
  <CharactersWithSpaces>42792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МЕСЕЧНА ИНФОРМАЦИЈА</dc:title>
  <dc:creator>ДИРЕКЦИЈА ЗА ИСТРАЖУВАЊЕ</dc:creator>
  <cp:lastModifiedBy>NBRM JM</cp:lastModifiedBy>
  <cp:revision>12</cp:revision>
  <cp:lastPrinted>2014-08-11T15:01:00Z</cp:lastPrinted>
  <dcterms:created xsi:type="dcterms:W3CDTF">2014-08-15T07:11:00Z</dcterms:created>
  <dcterms:modified xsi:type="dcterms:W3CDTF">2014-08-15T14:24:00Z</dcterms:modified>
</cp:coreProperties>
</file>