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36E" w:rsidRPr="00B63768" w:rsidRDefault="001B036E" w:rsidP="00620347">
      <w:pPr>
        <w:rPr>
          <w:rFonts w:cs="Tahoma"/>
          <w:lang w:val="mk-MK"/>
        </w:rPr>
      </w:pPr>
    </w:p>
    <w:p w:rsidR="000A02E6" w:rsidRPr="00B63768" w:rsidRDefault="000A02E6" w:rsidP="00620347">
      <w:pPr>
        <w:rPr>
          <w:rFonts w:cs="Tahoma"/>
          <w:b/>
          <w:lang w:val="mk-MK"/>
        </w:rPr>
        <w:sectPr w:rsidR="000A02E6" w:rsidRPr="00B63768" w:rsidSect="008476D5">
          <w:headerReference w:type="even" r:id="rId8"/>
          <w:headerReference w:type="default" r:id="rId9"/>
          <w:footerReference w:type="even" r:id="rId10"/>
          <w:footerReference w:type="default" r:id="rId11"/>
          <w:type w:val="continuous"/>
          <w:pgSz w:w="12240" w:h="15840" w:code="1"/>
          <w:pgMar w:top="1440" w:right="1440" w:bottom="1440" w:left="1440" w:header="720" w:footer="720" w:gutter="0"/>
          <w:cols w:space="720"/>
          <w:titlePg/>
          <w:docGrid w:linePitch="360"/>
        </w:sectPr>
      </w:pPr>
    </w:p>
    <w:p w:rsidR="00F731B3" w:rsidRPr="00B63768" w:rsidRDefault="00F731B3" w:rsidP="00620347">
      <w:pPr>
        <w:jc w:val="center"/>
        <w:rPr>
          <w:rFonts w:cs="Tahoma"/>
          <w:b/>
          <w:sz w:val="28"/>
          <w:szCs w:val="28"/>
          <w:lang w:val="mk-MK"/>
        </w:rPr>
      </w:pPr>
      <w:r w:rsidRPr="00B63768">
        <w:rPr>
          <w:rFonts w:cs="Tahoma"/>
          <w:b/>
          <w:sz w:val="28"/>
          <w:szCs w:val="28"/>
          <w:lang w:val="mk-MK"/>
        </w:rPr>
        <w:lastRenderedPageBreak/>
        <w:t>Народна банка на Република Македонија</w:t>
      </w:r>
    </w:p>
    <w:p w:rsidR="00F731B3" w:rsidRPr="00B63768" w:rsidRDefault="00F731B3" w:rsidP="00620347">
      <w:pPr>
        <w:jc w:val="center"/>
        <w:rPr>
          <w:rFonts w:cs="Tahoma"/>
          <w:lang w:val="mk-MK"/>
        </w:rPr>
      </w:pPr>
      <w:r w:rsidRPr="00B63768">
        <w:rPr>
          <w:rFonts w:cs="Tahoma"/>
          <w:lang w:val="mk-MK"/>
        </w:rPr>
        <w:t>Сектор за супервизија, банкарска регулатива и финансиска стабилност</w:t>
      </w:r>
    </w:p>
    <w:p w:rsidR="00F731B3" w:rsidRPr="00B63768" w:rsidRDefault="00F731B3" w:rsidP="00620347">
      <w:pPr>
        <w:jc w:val="center"/>
        <w:rPr>
          <w:rFonts w:cs="Tahoma"/>
          <w:lang w:val="mk-MK"/>
        </w:rPr>
      </w:pPr>
      <w:r w:rsidRPr="00B63768">
        <w:rPr>
          <w:rFonts w:cs="Tahoma"/>
          <w:lang w:val="mk-MK"/>
        </w:rPr>
        <w:t>Дир</w:t>
      </w:r>
      <w:r w:rsidR="005B6D1F" w:rsidRPr="00B63768">
        <w:rPr>
          <w:rFonts w:cs="Tahoma"/>
          <w:lang w:val="mk-MK"/>
        </w:rPr>
        <w:t>екција за финансиска стабилност и</w:t>
      </w:r>
      <w:r w:rsidRPr="00B63768">
        <w:rPr>
          <w:rFonts w:cs="Tahoma"/>
          <w:lang w:val="mk-MK"/>
        </w:rPr>
        <w:t xml:space="preserve"> банкарска регулатива</w:t>
      </w: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jc w:val="center"/>
        <w:rPr>
          <w:rFonts w:cs="Tahoma"/>
          <w:lang w:val="mk-MK"/>
        </w:rPr>
      </w:pPr>
      <w:r w:rsidRPr="00B63768">
        <w:rPr>
          <w:rFonts w:cs="Tahoma"/>
          <w:noProof/>
        </w:rPr>
        <w:drawing>
          <wp:inline distT="0" distB="0" distL="0" distR="0">
            <wp:extent cx="1772920" cy="19481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5464" t="9386" r="26363" b="20032"/>
                    <a:stretch>
                      <a:fillRect/>
                    </a:stretch>
                  </pic:blipFill>
                  <pic:spPr bwMode="auto">
                    <a:xfrm>
                      <a:off x="0" y="0"/>
                      <a:ext cx="1772920" cy="1948180"/>
                    </a:xfrm>
                    <a:prstGeom prst="rect">
                      <a:avLst/>
                    </a:prstGeom>
                    <a:noFill/>
                    <a:ln w="9525">
                      <a:noFill/>
                      <a:miter lim="800000"/>
                      <a:headEnd/>
                      <a:tailEnd/>
                    </a:ln>
                  </pic:spPr>
                </pic:pic>
              </a:graphicData>
            </a:graphic>
          </wp:inline>
        </w:drawing>
      </w:r>
    </w:p>
    <w:p w:rsidR="00F731B3" w:rsidRPr="00B63768" w:rsidRDefault="00F731B3" w:rsidP="00620347">
      <w:pPr>
        <w:jc w:val="center"/>
        <w:rPr>
          <w:rFonts w:cs="Tahoma"/>
          <w:b/>
          <w:i/>
          <w:lang w:val="mk-MK"/>
        </w:rPr>
      </w:pPr>
    </w:p>
    <w:p w:rsidR="00F731B3" w:rsidRPr="00B63768" w:rsidRDefault="00F731B3" w:rsidP="00620347">
      <w:pPr>
        <w:jc w:val="center"/>
        <w:rPr>
          <w:rFonts w:cs="Tahoma"/>
          <w:b/>
          <w:i/>
          <w:sz w:val="36"/>
          <w:szCs w:val="36"/>
          <w:lang w:val="mk-MK"/>
        </w:rPr>
      </w:pPr>
      <w:r w:rsidRPr="00B63768">
        <w:rPr>
          <w:rFonts w:cs="Tahoma"/>
          <w:b/>
          <w:i/>
          <w:sz w:val="36"/>
          <w:szCs w:val="36"/>
          <w:lang w:val="mk-MK"/>
        </w:rPr>
        <w:t xml:space="preserve">ИЗВЕШТАЈ ЗА </w:t>
      </w:r>
      <w:r w:rsidR="00BC2DB4" w:rsidRPr="00B63768">
        <w:rPr>
          <w:rFonts w:cs="Tahoma"/>
          <w:b/>
          <w:i/>
          <w:sz w:val="36"/>
          <w:szCs w:val="36"/>
          <w:lang w:val="mk-MK"/>
        </w:rPr>
        <w:t xml:space="preserve">РИЗИЦИТЕ ВО </w:t>
      </w:r>
      <w:r w:rsidRPr="00B63768">
        <w:rPr>
          <w:rFonts w:cs="Tahoma"/>
          <w:b/>
          <w:i/>
          <w:sz w:val="36"/>
          <w:szCs w:val="36"/>
          <w:lang w:val="mk-MK"/>
        </w:rPr>
        <w:t xml:space="preserve">БАНКАРСКИОТ СИСТЕМ НА РЕПУБЛИКА МАКЕДОНИЈА ВО </w:t>
      </w:r>
      <w:r w:rsidR="00C515A4" w:rsidRPr="00B63768">
        <w:rPr>
          <w:rFonts w:cs="Tahoma"/>
          <w:b/>
          <w:i/>
          <w:sz w:val="36"/>
          <w:szCs w:val="36"/>
          <w:lang w:val="mk-MK"/>
        </w:rPr>
        <w:t>ПРВИОТ</w:t>
      </w:r>
      <w:r w:rsidRPr="00B63768">
        <w:rPr>
          <w:rFonts w:cs="Tahoma"/>
          <w:b/>
          <w:i/>
          <w:sz w:val="36"/>
          <w:szCs w:val="36"/>
          <w:lang w:val="mk-MK"/>
        </w:rPr>
        <w:t xml:space="preserve"> КВАРТАЛ ОД </w:t>
      </w:r>
      <w:r w:rsidR="00F51242" w:rsidRPr="00B63768">
        <w:rPr>
          <w:rFonts w:cs="Tahoma"/>
          <w:b/>
          <w:i/>
          <w:sz w:val="36"/>
          <w:szCs w:val="36"/>
          <w:lang w:val="mk-MK"/>
        </w:rPr>
        <w:t>201</w:t>
      </w:r>
      <w:r w:rsidR="00D22DB7" w:rsidRPr="00B63768">
        <w:rPr>
          <w:rFonts w:cs="Tahoma"/>
          <w:b/>
          <w:i/>
          <w:sz w:val="36"/>
          <w:szCs w:val="36"/>
          <w:lang w:val="mk-MK"/>
        </w:rPr>
        <w:t>3</w:t>
      </w:r>
      <w:r w:rsidR="00FB2929" w:rsidRPr="00B63768">
        <w:rPr>
          <w:rFonts w:cs="Tahoma"/>
          <w:b/>
          <w:i/>
          <w:sz w:val="36"/>
          <w:szCs w:val="36"/>
          <w:lang w:val="mk-MK"/>
        </w:rPr>
        <w:t xml:space="preserve"> </w:t>
      </w:r>
      <w:r w:rsidRPr="00B63768">
        <w:rPr>
          <w:rFonts w:cs="Tahoma"/>
          <w:b/>
          <w:i/>
          <w:sz w:val="36"/>
          <w:szCs w:val="36"/>
          <w:lang w:val="mk-MK"/>
        </w:rPr>
        <w:t>ГОДИНА</w:t>
      </w: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C515A4" w:rsidP="007562D9">
      <w:pPr>
        <w:jc w:val="center"/>
        <w:rPr>
          <w:rFonts w:cs="Tahoma"/>
          <w:lang w:val="mk-MK"/>
        </w:rPr>
      </w:pPr>
      <w:r w:rsidRPr="00B63768">
        <w:rPr>
          <w:rFonts w:cs="Tahoma"/>
          <w:lang w:val="mk-MK"/>
        </w:rPr>
        <w:t>август 2013</w:t>
      </w:r>
      <w:r w:rsidR="00DD679A" w:rsidRPr="00B63768">
        <w:rPr>
          <w:rFonts w:cs="Tahoma"/>
          <w:lang w:val="mk-MK"/>
        </w:rPr>
        <w:t xml:space="preserve"> година</w:t>
      </w:r>
    </w:p>
    <w:p w:rsidR="00F731B3" w:rsidRPr="00B63768" w:rsidRDefault="00F731B3" w:rsidP="00620347">
      <w:pPr>
        <w:rPr>
          <w:rFonts w:cs="Tahoma"/>
          <w:lang w:val="mk-MK"/>
        </w:rPr>
      </w:pPr>
    </w:p>
    <w:p w:rsidR="00F731B3" w:rsidRPr="00B63768" w:rsidRDefault="00F731B3" w:rsidP="00620347">
      <w:pPr>
        <w:rPr>
          <w:rFonts w:cs="Tahoma"/>
          <w:lang w:val="mk-MK"/>
        </w:rPr>
      </w:pPr>
    </w:p>
    <w:p w:rsidR="00F731B3" w:rsidRPr="00B63768" w:rsidRDefault="00F731B3" w:rsidP="00620347">
      <w:pPr>
        <w:rPr>
          <w:rFonts w:cs="Tahoma"/>
          <w:b/>
          <w:lang w:val="mk-MK"/>
        </w:rPr>
        <w:sectPr w:rsidR="00F731B3" w:rsidRPr="00B63768" w:rsidSect="008476D5">
          <w:type w:val="continuous"/>
          <w:pgSz w:w="12240" w:h="15840" w:code="1"/>
          <w:pgMar w:top="1440" w:right="1440" w:bottom="1440" w:left="1440" w:header="720" w:footer="720" w:gutter="0"/>
          <w:cols w:space="720"/>
          <w:docGrid w:linePitch="360"/>
        </w:sectPr>
      </w:pPr>
    </w:p>
    <w:p w:rsidR="00F041E7" w:rsidRPr="00B63768" w:rsidRDefault="00F041E7" w:rsidP="007562D9">
      <w:pPr>
        <w:pStyle w:val="TOC1"/>
        <w:rPr>
          <w:lang w:val="mk-MK"/>
        </w:rPr>
      </w:pPr>
      <w:r w:rsidRPr="00B63768">
        <w:rPr>
          <w:lang w:val="mk-MK"/>
        </w:rPr>
        <w:lastRenderedPageBreak/>
        <w:t>СОДРЖИНА</w:t>
      </w:r>
    </w:p>
    <w:p w:rsidR="00F041E7" w:rsidRPr="00B63768" w:rsidRDefault="00F041E7" w:rsidP="00F041E7">
      <w:pPr>
        <w:rPr>
          <w:lang w:val="mk-MK"/>
        </w:rPr>
      </w:pPr>
    </w:p>
    <w:bookmarkStart w:id="0" w:name="_Toc307562528"/>
    <w:p w:rsidR="00A940B9" w:rsidRPr="00B63768" w:rsidRDefault="00040D2C">
      <w:pPr>
        <w:pStyle w:val="TOC1"/>
        <w:rPr>
          <w:rFonts w:asciiTheme="minorHAnsi" w:eastAsiaTheme="minorEastAsia" w:hAnsiTheme="minorHAnsi" w:cstheme="minorBidi"/>
          <w:b w:val="0"/>
          <w:lang w:val="mk-MK"/>
        </w:rPr>
      </w:pPr>
      <w:r w:rsidRPr="00040D2C">
        <w:rPr>
          <w:rFonts w:cs="Tahoma"/>
          <w:b w:val="0"/>
          <w:lang w:val="mk-MK"/>
        </w:rPr>
        <w:fldChar w:fldCharType="begin"/>
      </w:r>
      <w:r w:rsidR="00BD2F10" w:rsidRPr="00B63768">
        <w:rPr>
          <w:rFonts w:cs="Tahoma"/>
          <w:b w:val="0"/>
          <w:lang w:val="mk-MK"/>
        </w:rPr>
        <w:instrText xml:space="preserve"> TOC \o "1-7" \h \z \u </w:instrText>
      </w:r>
      <w:r w:rsidRPr="00040D2C">
        <w:rPr>
          <w:rFonts w:cs="Tahoma"/>
          <w:b w:val="0"/>
          <w:lang w:val="mk-MK"/>
        </w:rPr>
        <w:fldChar w:fldCharType="separate"/>
      </w:r>
      <w:hyperlink w:anchor="_Toc362007046" w:history="1">
        <w:r w:rsidR="00A940B9" w:rsidRPr="00B63768">
          <w:rPr>
            <w:rStyle w:val="Hyperlink"/>
            <w:lang w:val="mk-MK"/>
          </w:rPr>
          <w:t>Резиме</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_Toc362007046 \h </w:instrText>
        </w:r>
        <w:r w:rsidRPr="00B63768">
          <w:rPr>
            <w:webHidden/>
            <w:lang w:val="mk-MK"/>
          </w:rPr>
        </w:r>
        <w:r w:rsidRPr="00B63768">
          <w:rPr>
            <w:webHidden/>
            <w:lang w:val="mk-MK"/>
          </w:rPr>
          <w:fldChar w:fldCharType="separate"/>
        </w:r>
        <w:r w:rsidR="005044D8" w:rsidRPr="00B63768">
          <w:rPr>
            <w:webHidden/>
            <w:lang w:val="mk-MK"/>
          </w:rPr>
          <w:t>3</w:t>
        </w:r>
        <w:r w:rsidRPr="00B63768">
          <w:rPr>
            <w:webHidden/>
            <w:lang w:val="mk-MK"/>
          </w:rPr>
          <w:fldChar w:fldCharType="end"/>
        </w:r>
      </w:hyperlink>
    </w:p>
    <w:p w:rsidR="00A940B9" w:rsidRPr="00B63768" w:rsidRDefault="00040D2C">
      <w:pPr>
        <w:pStyle w:val="TOC1"/>
        <w:rPr>
          <w:rFonts w:asciiTheme="minorHAnsi" w:eastAsiaTheme="minorEastAsia" w:hAnsiTheme="minorHAnsi" w:cstheme="minorBidi"/>
          <w:b w:val="0"/>
          <w:lang w:val="mk-MK"/>
        </w:rPr>
      </w:pPr>
      <w:hyperlink w:anchor="_Toc362007047" w:history="1">
        <w:r w:rsidR="00A940B9" w:rsidRPr="00B63768">
          <w:rPr>
            <w:rStyle w:val="Hyperlink"/>
            <w:lang w:val="mk-MK"/>
          </w:rPr>
          <w:t>I.</w:t>
        </w:r>
        <w:r w:rsidR="00A940B9" w:rsidRPr="00B63768">
          <w:rPr>
            <w:rFonts w:asciiTheme="minorHAnsi" w:eastAsiaTheme="minorEastAsia" w:hAnsiTheme="minorHAnsi" w:cstheme="minorBidi"/>
            <w:b w:val="0"/>
            <w:lang w:val="mk-MK"/>
          </w:rPr>
          <w:tab/>
        </w:r>
        <w:r w:rsidR="00A940B9" w:rsidRPr="00B63768">
          <w:rPr>
            <w:rStyle w:val="Hyperlink"/>
            <w:lang w:val="mk-MK"/>
          </w:rPr>
          <w:t>Структура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_Toc362007047 \h </w:instrText>
        </w:r>
        <w:r w:rsidRPr="00B63768">
          <w:rPr>
            <w:webHidden/>
            <w:lang w:val="mk-MK"/>
          </w:rPr>
        </w:r>
        <w:r w:rsidRPr="00B63768">
          <w:rPr>
            <w:webHidden/>
            <w:lang w:val="mk-MK"/>
          </w:rPr>
          <w:fldChar w:fldCharType="separate"/>
        </w:r>
        <w:r w:rsidR="005044D8" w:rsidRPr="00B63768">
          <w:rPr>
            <w:webHidden/>
            <w:lang w:val="mk-MK"/>
          </w:rPr>
          <w:t>5</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48" w:history="1">
        <w:r w:rsidR="00A940B9" w:rsidRPr="00B63768">
          <w:rPr>
            <w:rStyle w:val="Hyperlink"/>
            <w:lang w:val="mk-MK"/>
          </w:rPr>
          <w:t>1.</w:t>
        </w:r>
        <w:r w:rsidR="00A940B9" w:rsidRPr="00B63768">
          <w:rPr>
            <w:rFonts w:asciiTheme="minorHAnsi" w:eastAsiaTheme="minorEastAsia" w:hAnsiTheme="minorHAnsi" w:cstheme="minorBidi"/>
            <w:b w:val="0"/>
            <w:lang w:val="mk-MK"/>
          </w:rPr>
          <w:tab/>
        </w:r>
        <w:r w:rsidR="00A940B9" w:rsidRPr="00B63768">
          <w:rPr>
            <w:rStyle w:val="Hyperlink"/>
            <w:lang w:val="mk-MK"/>
          </w:rPr>
          <w:t>Број на банки и сопственичка структура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_Toc362007048 \h </w:instrText>
        </w:r>
        <w:r w:rsidRPr="00B63768">
          <w:rPr>
            <w:webHidden/>
            <w:lang w:val="mk-MK"/>
          </w:rPr>
        </w:r>
        <w:r w:rsidRPr="00B63768">
          <w:rPr>
            <w:webHidden/>
            <w:lang w:val="mk-MK"/>
          </w:rPr>
          <w:fldChar w:fldCharType="separate"/>
        </w:r>
        <w:r w:rsidR="005044D8" w:rsidRPr="00B63768">
          <w:rPr>
            <w:webHidden/>
            <w:lang w:val="mk-MK"/>
          </w:rPr>
          <w:t>5</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49" w:history="1">
        <w:r w:rsidR="00A940B9" w:rsidRPr="00B63768">
          <w:rPr>
            <w:rStyle w:val="Hyperlink"/>
            <w:lang w:val="mk-MK"/>
          </w:rPr>
          <w:t>2.</w:t>
        </w:r>
        <w:r w:rsidR="00A940B9" w:rsidRPr="00B63768">
          <w:rPr>
            <w:rFonts w:asciiTheme="minorHAnsi" w:eastAsiaTheme="minorEastAsia" w:hAnsiTheme="minorHAnsi" w:cstheme="minorBidi"/>
            <w:b w:val="0"/>
            <w:lang w:val="mk-MK"/>
          </w:rPr>
          <w:tab/>
        </w:r>
        <w:r w:rsidR="00A940B9" w:rsidRPr="00B63768">
          <w:rPr>
            <w:rStyle w:val="Hyperlink"/>
            <w:lang w:val="mk-MK"/>
          </w:rPr>
          <w:t>Концентрација и пазарно учество на банките</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_Toc362007049 \h </w:instrText>
        </w:r>
        <w:r w:rsidRPr="00B63768">
          <w:rPr>
            <w:webHidden/>
            <w:lang w:val="mk-MK"/>
          </w:rPr>
        </w:r>
        <w:r w:rsidRPr="00B63768">
          <w:rPr>
            <w:webHidden/>
            <w:lang w:val="mk-MK"/>
          </w:rPr>
          <w:fldChar w:fldCharType="separate"/>
        </w:r>
        <w:r w:rsidR="005044D8" w:rsidRPr="00B63768">
          <w:rPr>
            <w:webHidden/>
            <w:lang w:val="mk-MK"/>
          </w:rPr>
          <w:t>6</w:t>
        </w:r>
        <w:r w:rsidRPr="00B63768">
          <w:rPr>
            <w:webHidden/>
            <w:lang w:val="mk-MK"/>
          </w:rPr>
          <w:fldChar w:fldCharType="end"/>
        </w:r>
      </w:hyperlink>
    </w:p>
    <w:p w:rsidR="00A940B9" w:rsidRPr="00B63768" w:rsidRDefault="00040D2C">
      <w:pPr>
        <w:pStyle w:val="TOC1"/>
        <w:rPr>
          <w:rFonts w:asciiTheme="minorHAnsi" w:eastAsiaTheme="minorEastAsia" w:hAnsiTheme="minorHAnsi" w:cstheme="minorBidi"/>
          <w:b w:val="0"/>
          <w:lang w:val="mk-MK"/>
        </w:rPr>
      </w:pPr>
      <w:hyperlink w:anchor="_Toc362007050" w:history="1">
        <w:r w:rsidR="00A940B9" w:rsidRPr="00B63768">
          <w:rPr>
            <w:rStyle w:val="Hyperlink"/>
            <w:lang w:val="mk-MK"/>
          </w:rPr>
          <w:t>II.</w:t>
        </w:r>
        <w:r w:rsidR="00A940B9" w:rsidRPr="00B63768">
          <w:rPr>
            <w:rFonts w:asciiTheme="minorHAnsi" w:eastAsiaTheme="minorEastAsia" w:hAnsiTheme="minorHAnsi" w:cstheme="minorBidi"/>
            <w:b w:val="0"/>
            <w:lang w:val="mk-MK"/>
          </w:rPr>
          <w:tab/>
        </w:r>
        <w:r w:rsidR="00A940B9" w:rsidRPr="00B63768">
          <w:rPr>
            <w:rStyle w:val="Hyperlink"/>
            <w:lang w:val="mk-MK"/>
          </w:rPr>
          <w:t>Активности на банките</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_Toc362007050 \h </w:instrText>
        </w:r>
        <w:r w:rsidRPr="00B63768">
          <w:rPr>
            <w:webHidden/>
            <w:lang w:val="mk-MK"/>
          </w:rPr>
        </w:r>
        <w:r w:rsidRPr="00B63768">
          <w:rPr>
            <w:webHidden/>
            <w:lang w:val="mk-MK"/>
          </w:rPr>
          <w:fldChar w:fldCharType="separate"/>
        </w:r>
        <w:r w:rsidR="005044D8" w:rsidRPr="00B63768">
          <w:rPr>
            <w:webHidden/>
            <w:lang w:val="mk-MK"/>
          </w:rPr>
          <w:t>7</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51" w:history="1">
        <w:r w:rsidR="00A940B9" w:rsidRPr="00B63768">
          <w:rPr>
            <w:rStyle w:val="Hyperlink"/>
            <w:lang w:val="mk-MK"/>
          </w:rPr>
          <w:t>1.</w:t>
        </w:r>
        <w:r w:rsidR="00A940B9" w:rsidRPr="00B63768">
          <w:rPr>
            <w:rFonts w:asciiTheme="minorHAnsi" w:eastAsiaTheme="minorEastAsia" w:hAnsiTheme="minorHAnsi" w:cstheme="minorBidi"/>
            <w:b w:val="0"/>
            <w:lang w:val="mk-MK"/>
          </w:rPr>
          <w:tab/>
        </w:r>
        <w:r w:rsidR="00A940B9" w:rsidRPr="00B63768">
          <w:rPr>
            <w:rStyle w:val="Hyperlink"/>
            <w:lang w:val="mk-MK"/>
          </w:rPr>
          <w:t>Биланс на состојба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_Toc362007051 \h </w:instrText>
        </w:r>
        <w:r w:rsidRPr="00B63768">
          <w:rPr>
            <w:webHidden/>
            <w:lang w:val="mk-MK"/>
          </w:rPr>
        </w:r>
        <w:r w:rsidRPr="00B63768">
          <w:rPr>
            <w:webHidden/>
            <w:lang w:val="mk-MK"/>
          </w:rPr>
          <w:fldChar w:fldCharType="separate"/>
        </w:r>
        <w:r w:rsidR="005044D8" w:rsidRPr="00B63768">
          <w:rPr>
            <w:webHidden/>
            <w:lang w:val="mk-MK"/>
          </w:rPr>
          <w:t>7</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52" w:history="1">
        <w:r w:rsidR="00A940B9" w:rsidRPr="00B63768">
          <w:rPr>
            <w:rStyle w:val="Hyperlink"/>
            <w:lang w:val="mk-MK"/>
          </w:rPr>
          <w:t>1.1.</w:t>
        </w:r>
        <w:r w:rsidR="00A940B9" w:rsidRPr="00B63768">
          <w:rPr>
            <w:rFonts w:asciiTheme="minorHAnsi" w:eastAsiaTheme="minorEastAsia" w:hAnsiTheme="minorHAnsi" w:cstheme="minorBidi"/>
            <w:lang w:val="mk-MK"/>
          </w:rPr>
          <w:tab/>
        </w:r>
        <w:r w:rsidR="00A940B9" w:rsidRPr="00B63768">
          <w:rPr>
            <w:rStyle w:val="Hyperlink"/>
            <w:lang w:val="mk-MK"/>
          </w:rPr>
          <w:t>Кредити на нефинансиските субјекти</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_Toc362007052 \h </w:instrText>
        </w:r>
        <w:r w:rsidRPr="00B63768">
          <w:rPr>
            <w:webHidden/>
            <w:lang w:val="mk-MK"/>
          </w:rPr>
        </w:r>
        <w:r w:rsidRPr="00B63768">
          <w:rPr>
            <w:webHidden/>
            <w:lang w:val="mk-MK"/>
          </w:rPr>
          <w:fldChar w:fldCharType="separate"/>
        </w:r>
        <w:r w:rsidR="005044D8" w:rsidRPr="00B63768">
          <w:rPr>
            <w:webHidden/>
            <w:lang w:val="mk-MK"/>
          </w:rPr>
          <w:t>10</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53" w:history="1">
        <w:r w:rsidR="00A940B9" w:rsidRPr="00B63768">
          <w:rPr>
            <w:rStyle w:val="Hyperlink"/>
            <w:lang w:val="mk-MK"/>
          </w:rPr>
          <w:t>1.2.</w:t>
        </w:r>
        <w:r w:rsidR="00A940B9" w:rsidRPr="00B63768">
          <w:rPr>
            <w:rFonts w:asciiTheme="minorHAnsi" w:eastAsiaTheme="minorEastAsia" w:hAnsiTheme="minorHAnsi" w:cstheme="minorBidi"/>
            <w:lang w:val="mk-MK"/>
          </w:rPr>
          <w:tab/>
        </w:r>
        <w:r w:rsidR="00A940B9" w:rsidRPr="00B63768">
          <w:rPr>
            <w:rStyle w:val="Hyperlink"/>
            <w:lang w:val="mk-MK"/>
          </w:rPr>
          <w:t>Депозити на нефинансиските субјекти</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_Toc362007053 \h </w:instrText>
        </w:r>
        <w:r w:rsidRPr="00B63768">
          <w:rPr>
            <w:webHidden/>
            <w:lang w:val="mk-MK"/>
          </w:rPr>
        </w:r>
        <w:r w:rsidRPr="00B63768">
          <w:rPr>
            <w:webHidden/>
            <w:lang w:val="mk-MK"/>
          </w:rPr>
          <w:fldChar w:fldCharType="separate"/>
        </w:r>
        <w:r w:rsidR="005044D8" w:rsidRPr="00B63768">
          <w:rPr>
            <w:webHidden/>
            <w:lang w:val="mk-MK"/>
          </w:rPr>
          <w:t>12</w:t>
        </w:r>
        <w:r w:rsidRPr="00B63768">
          <w:rPr>
            <w:webHidden/>
            <w:lang w:val="mk-MK"/>
          </w:rPr>
          <w:fldChar w:fldCharType="end"/>
        </w:r>
      </w:hyperlink>
    </w:p>
    <w:p w:rsidR="00A940B9" w:rsidRPr="00B63768" w:rsidRDefault="00040D2C">
      <w:pPr>
        <w:pStyle w:val="TOC1"/>
        <w:rPr>
          <w:rFonts w:asciiTheme="minorHAnsi" w:eastAsiaTheme="minorEastAsia" w:hAnsiTheme="minorHAnsi" w:cstheme="minorBidi"/>
          <w:b w:val="0"/>
          <w:lang w:val="mk-MK"/>
        </w:rPr>
      </w:pPr>
      <w:hyperlink w:anchor="_Toc362007054" w:history="1">
        <w:r w:rsidR="00A940B9" w:rsidRPr="00B63768">
          <w:rPr>
            <w:rStyle w:val="Hyperlink"/>
            <w:lang w:val="mk-MK"/>
          </w:rPr>
          <w:t>III.</w:t>
        </w:r>
        <w:r w:rsidR="00A940B9" w:rsidRPr="00B63768">
          <w:rPr>
            <w:rFonts w:asciiTheme="minorHAnsi" w:eastAsiaTheme="minorEastAsia" w:hAnsiTheme="minorHAnsi" w:cstheme="minorBidi"/>
            <w:b w:val="0"/>
            <w:lang w:val="mk-MK"/>
          </w:rPr>
          <w:tab/>
        </w:r>
        <w:r w:rsidR="00A940B9" w:rsidRPr="00B63768">
          <w:rPr>
            <w:rStyle w:val="Hyperlink"/>
            <w:lang w:val="mk-MK"/>
          </w:rPr>
          <w:t>Ризици во банкарското работење</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_Toc362007054 \h </w:instrText>
        </w:r>
        <w:r w:rsidRPr="00B63768">
          <w:rPr>
            <w:webHidden/>
            <w:lang w:val="mk-MK"/>
          </w:rPr>
        </w:r>
        <w:r w:rsidRPr="00B63768">
          <w:rPr>
            <w:webHidden/>
            <w:lang w:val="mk-MK"/>
          </w:rPr>
          <w:fldChar w:fldCharType="separate"/>
        </w:r>
        <w:r w:rsidR="005044D8" w:rsidRPr="00B63768">
          <w:rPr>
            <w:webHidden/>
            <w:lang w:val="mk-MK"/>
          </w:rPr>
          <w:t>14</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55" w:history="1">
        <w:r w:rsidR="00A940B9" w:rsidRPr="00B63768">
          <w:rPr>
            <w:rStyle w:val="Hyperlink"/>
            <w:lang w:val="mk-MK"/>
          </w:rPr>
          <w:t>1.</w:t>
        </w:r>
        <w:r w:rsidR="00A940B9" w:rsidRPr="00B63768">
          <w:rPr>
            <w:rFonts w:asciiTheme="minorHAnsi" w:eastAsiaTheme="minorEastAsia" w:hAnsiTheme="minorHAnsi" w:cstheme="minorBidi"/>
            <w:b w:val="0"/>
            <w:lang w:val="mk-MK"/>
          </w:rPr>
          <w:tab/>
        </w:r>
        <w:r w:rsidR="00A940B9" w:rsidRPr="00B63768">
          <w:rPr>
            <w:rStyle w:val="Hyperlink"/>
            <w:lang w:val="mk-MK"/>
          </w:rPr>
          <w:t>Кредитен ризик</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_Toc362007055 \h </w:instrText>
        </w:r>
        <w:r w:rsidRPr="00B63768">
          <w:rPr>
            <w:webHidden/>
            <w:lang w:val="mk-MK"/>
          </w:rPr>
        </w:r>
        <w:r w:rsidRPr="00B63768">
          <w:rPr>
            <w:webHidden/>
            <w:lang w:val="mk-MK"/>
          </w:rPr>
          <w:fldChar w:fldCharType="separate"/>
        </w:r>
        <w:r w:rsidR="005044D8" w:rsidRPr="00B63768">
          <w:rPr>
            <w:webHidden/>
            <w:lang w:val="mk-MK"/>
          </w:rPr>
          <w:t>14</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56" w:history="1">
        <w:r w:rsidR="00A940B9" w:rsidRPr="00B63768">
          <w:rPr>
            <w:rStyle w:val="Hyperlink"/>
            <w:lang w:val="mk-MK"/>
          </w:rPr>
          <w:t>1.1.</w:t>
        </w:r>
        <w:r w:rsidR="00A940B9" w:rsidRPr="00B63768">
          <w:rPr>
            <w:rFonts w:asciiTheme="minorHAnsi" w:eastAsiaTheme="minorEastAsia" w:hAnsiTheme="minorHAnsi" w:cstheme="minorBidi"/>
            <w:lang w:val="mk-MK"/>
          </w:rPr>
          <w:tab/>
        </w:r>
        <w:r w:rsidR="00A940B9" w:rsidRPr="00B63768">
          <w:rPr>
            <w:rStyle w:val="Hyperlink"/>
            <w:lang w:val="mk-MK"/>
          </w:rPr>
          <w:t>Квалитет на кредитното портфолио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_Toc362007056 \h </w:instrText>
        </w:r>
        <w:r w:rsidRPr="00B63768">
          <w:rPr>
            <w:webHidden/>
            <w:lang w:val="mk-MK"/>
          </w:rPr>
        </w:r>
        <w:r w:rsidRPr="00B63768">
          <w:rPr>
            <w:webHidden/>
            <w:lang w:val="mk-MK"/>
          </w:rPr>
          <w:fldChar w:fldCharType="separate"/>
        </w:r>
        <w:r w:rsidR="005044D8" w:rsidRPr="00B63768">
          <w:rPr>
            <w:webHidden/>
            <w:lang w:val="mk-MK"/>
          </w:rPr>
          <w:t>14</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57" w:history="1">
        <w:r w:rsidR="00A940B9" w:rsidRPr="00B63768">
          <w:rPr>
            <w:rStyle w:val="Hyperlink"/>
            <w:lang w:val="mk-MK"/>
          </w:rPr>
          <w:t>1.2.</w:t>
        </w:r>
        <w:r w:rsidR="00A940B9" w:rsidRPr="00B63768">
          <w:rPr>
            <w:rFonts w:asciiTheme="minorHAnsi" w:eastAsiaTheme="minorEastAsia" w:hAnsiTheme="minorHAnsi" w:cstheme="minorBidi"/>
            <w:lang w:val="mk-MK"/>
          </w:rPr>
          <w:tab/>
        </w:r>
        <w:r w:rsidR="00A940B9" w:rsidRPr="00B63768">
          <w:rPr>
            <w:rStyle w:val="Hyperlink"/>
            <w:lang w:val="mk-MK"/>
          </w:rPr>
          <w:t>Стрес-тест симулација за чувствителноста на банкарскиот систем на зголемување на кредитниот ризик</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_Toc362007057 \h </w:instrText>
        </w:r>
        <w:r w:rsidRPr="00B63768">
          <w:rPr>
            <w:webHidden/>
            <w:lang w:val="mk-MK"/>
          </w:rPr>
        </w:r>
        <w:r w:rsidRPr="00B63768">
          <w:rPr>
            <w:webHidden/>
            <w:lang w:val="mk-MK"/>
          </w:rPr>
          <w:fldChar w:fldCharType="separate"/>
        </w:r>
        <w:r w:rsidR="005044D8" w:rsidRPr="00B63768">
          <w:rPr>
            <w:webHidden/>
            <w:lang w:val="mk-MK"/>
          </w:rPr>
          <w:t>22</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58" w:history="1">
        <w:r w:rsidR="00A940B9" w:rsidRPr="00B63768">
          <w:rPr>
            <w:rStyle w:val="Hyperlink"/>
            <w:lang w:val="mk-MK"/>
          </w:rPr>
          <w:t>2.</w:t>
        </w:r>
        <w:r w:rsidR="00A940B9" w:rsidRPr="00B63768">
          <w:rPr>
            <w:rFonts w:asciiTheme="minorHAnsi" w:eastAsiaTheme="minorEastAsia" w:hAnsiTheme="minorHAnsi" w:cstheme="minorBidi"/>
            <w:b w:val="0"/>
            <w:lang w:val="mk-MK"/>
          </w:rPr>
          <w:tab/>
        </w:r>
        <w:r w:rsidR="00A940B9" w:rsidRPr="00B63768">
          <w:rPr>
            <w:rStyle w:val="Hyperlink"/>
            <w:lang w:val="mk-MK"/>
          </w:rPr>
          <w:t>Ликвидносен ризик</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_Toc362007058 \h </w:instrText>
        </w:r>
        <w:r w:rsidRPr="00B63768">
          <w:rPr>
            <w:webHidden/>
            <w:lang w:val="mk-MK"/>
          </w:rPr>
        </w:r>
        <w:r w:rsidRPr="00B63768">
          <w:rPr>
            <w:webHidden/>
            <w:lang w:val="mk-MK"/>
          </w:rPr>
          <w:fldChar w:fldCharType="separate"/>
        </w:r>
        <w:r w:rsidR="005044D8" w:rsidRPr="00B63768">
          <w:rPr>
            <w:webHidden/>
            <w:lang w:val="mk-MK"/>
          </w:rPr>
          <w:t>23</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59" w:history="1">
        <w:r w:rsidR="00A940B9" w:rsidRPr="00B63768">
          <w:rPr>
            <w:rStyle w:val="Hyperlink"/>
            <w:lang w:val="mk-MK"/>
          </w:rPr>
          <w:t>3.</w:t>
        </w:r>
        <w:r w:rsidR="00A940B9" w:rsidRPr="00B63768">
          <w:rPr>
            <w:rFonts w:asciiTheme="minorHAnsi" w:eastAsiaTheme="minorEastAsia" w:hAnsiTheme="minorHAnsi" w:cstheme="minorBidi"/>
            <w:b w:val="0"/>
            <w:lang w:val="mk-MK"/>
          </w:rPr>
          <w:tab/>
        </w:r>
        <w:r w:rsidR="00A940B9" w:rsidRPr="00B63768">
          <w:rPr>
            <w:rStyle w:val="Hyperlink"/>
            <w:lang w:val="mk-MK"/>
          </w:rPr>
          <w:t>Валутен ризик</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_Toc362007059 \h </w:instrText>
        </w:r>
        <w:r w:rsidRPr="00B63768">
          <w:rPr>
            <w:webHidden/>
            <w:lang w:val="mk-MK"/>
          </w:rPr>
        </w:r>
        <w:r w:rsidRPr="00B63768">
          <w:rPr>
            <w:webHidden/>
            <w:lang w:val="mk-MK"/>
          </w:rPr>
          <w:fldChar w:fldCharType="separate"/>
        </w:r>
        <w:r w:rsidR="005044D8" w:rsidRPr="00B63768">
          <w:rPr>
            <w:webHidden/>
            <w:lang w:val="mk-MK"/>
          </w:rPr>
          <w:t>31</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60" w:history="1">
        <w:r w:rsidR="00A940B9" w:rsidRPr="00B63768">
          <w:rPr>
            <w:rStyle w:val="Hyperlink"/>
            <w:lang w:val="mk-MK"/>
          </w:rPr>
          <w:t>4.</w:t>
        </w:r>
        <w:r w:rsidR="00A940B9" w:rsidRPr="00B63768">
          <w:rPr>
            <w:rFonts w:asciiTheme="minorHAnsi" w:eastAsiaTheme="minorEastAsia" w:hAnsiTheme="minorHAnsi" w:cstheme="minorBidi"/>
            <w:b w:val="0"/>
            <w:lang w:val="mk-MK"/>
          </w:rPr>
          <w:tab/>
        </w:r>
        <w:r w:rsidR="00A940B9" w:rsidRPr="00B63768">
          <w:rPr>
            <w:rStyle w:val="Hyperlink"/>
            <w:lang w:val="mk-MK"/>
          </w:rPr>
          <w:t>Ризик од промена на каматните стапки во портфолиото на банкарски активности</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_Toc362007060 \h </w:instrText>
        </w:r>
        <w:r w:rsidRPr="00B63768">
          <w:rPr>
            <w:webHidden/>
            <w:lang w:val="mk-MK"/>
          </w:rPr>
        </w:r>
        <w:r w:rsidRPr="00B63768">
          <w:rPr>
            <w:webHidden/>
            <w:lang w:val="mk-MK"/>
          </w:rPr>
          <w:fldChar w:fldCharType="separate"/>
        </w:r>
        <w:r w:rsidR="005044D8" w:rsidRPr="00B63768">
          <w:rPr>
            <w:webHidden/>
            <w:lang w:val="mk-MK"/>
          </w:rPr>
          <w:t>34</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61" w:history="1">
        <w:r w:rsidR="00A940B9" w:rsidRPr="00B63768">
          <w:rPr>
            <w:rStyle w:val="Hyperlink"/>
            <w:lang w:val="mk-MK"/>
          </w:rPr>
          <w:t>4.1.</w:t>
        </w:r>
        <w:r w:rsidR="00A940B9" w:rsidRPr="00B63768">
          <w:rPr>
            <w:rFonts w:asciiTheme="minorHAnsi" w:eastAsiaTheme="minorEastAsia" w:hAnsiTheme="minorHAnsi" w:cstheme="minorBidi"/>
            <w:lang w:val="mk-MK"/>
          </w:rPr>
          <w:tab/>
        </w:r>
        <w:r w:rsidR="00A940B9" w:rsidRPr="00B63768">
          <w:rPr>
            <w:rStyle w:val="Hyperlink"/>
            <w:lang w:val="mk-MK"/>
          </w:rPr>
          <w:t>Структура на каматочувствителните средства и обврски</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_Toc362007061 \h </w:instrText>
        </w:r>
        <w:r w:rsidRPr="00B63768">
          <w:rPr>
            <w:webHidden/>
            <w:lang w:val="mk-MK"/>
          </w:rPr>
        </w:r>
        <w:r w:rsidRPr="00B63768">
          <w:rPr>
            <w:webHidden/>
            <w:lang w:val="mk-MK"/>
          </w:rPr>
          <w:fldChar w:fldCharType="separate"/>
        </w:r>
        <w:r w:rsidR="005044D8" w:rsidRPr="00B63768">
          <w:rPr>
            <w:webHidden/>
            <w:lang w:val="mk-MK"/>
          </w:rPr>
          <w:t>35</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62" w:history="1">
        <w:r w:rsidR="00A940B9" w:rsidRPr="00B63768">
          <w:rPr>
            <w:rStyle w:val="Hyperlink"/>
            <w:lang w:val="mk-MK"/>
          </w:rPr>
          <w:t>4.2.</w:t>
        </w:r>
        <w:r w:rsidR="00A940B9" w:rsidRPr="00B63768">
          <w:rPr>
            <w:rFonts w:asciiTheme="minorHAnsi" w:eastAsiaTheme="minorEastAsia" w:hAnsiTheme="minorHAnsi" w:cstheme="minorBidi"/>
            <w:lang w:val="mk-MK"/>
          </w:rPr>
          <w:tab/>
        </w:r>
        <w:r w:rsidR="00A940B9" w:rsidRPr="00B63768">
          <w:rPr>
            <w:rStyle w:val="Hyperlink"/>
            <w:lang w:val="mk-MK"/>
          </w:rPr>
          <w:t>Пондерирана вредност на портфолиото на банкарски активности</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_Toc362007062 \h </w:instrText>
        </w:r>
        <w:r w:rsidRPr="00B63768">
          <w:rPr>
            <w:webHidden/>
            <w:lang w:val="mk-MK"/>
          </w:rPr>
        </w:r>
        <w:r w:rsidRPr="00B63768">
          <w:rPr>
            <w:webHidden/>
            <w:lang w:val="mk-MK"/>
          </w:rPr>
          <w:fldChar w:fldCharType="separate"/>
        </w:r>
        <w:r w:rsidR="005044D8" w:rsidRPr="00B63768">
          <w:rPr>
            <w:webHidden/>
            <w:lang w:val="mk-MK"/>
          </w:rPr>
          <w:t>37</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63" w:history="1">
        <w:r w:rsidR="00A940B9" w:rsidRPr="00B63768">
          <w:rPr>
            <w:rStyle w:val="Hyperlink"/>
            <w:lang w:val="mk-MK"/>
          </w:rPr>
          <w:t>5.</w:t>
        </w:r>
        <w:r w:rsidR="00A940B9" w:rsidRPr="00B63768">
          <w:rPr>
            <w:rFonts w:asciiTheme="minorHAnsi" w:eastAsiaTheme="minorEastAsia" w:hAnsiTheme="minorHAnsi" w:cstheme="minorBidi"/>
            <w:b w:val="0"/>
            <w:lang w:val="mk-MK"/>
          </w:rPr>
          <w:tab/>
        </w:r>
        <w:r w:rsidR="00A940B9" w:rsidRPr="00B63768">
          <w:rPr>
            <w:rStyle w:val="Hyperlink"/>
            <w:lang w:val="mk-MK"/>
          </w:rPr>
          <w:t>Ризик од несолвентност</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_Toc362007063 \h </w:instrText>
        </w:r>
        <w:r w:rsidRPr="00B63768">
          <w:rPr>
            <w:webHidden/>
            <w:lang w:val="mk-MK"/>
          </w:rPr>
        </w:r>
        <w:r w:rsidRPr="00B63768">
          <w:rPr>
            <w:webHidden/>
            <w:lang w:val="mk-MK"/>
          </w:rPr>
          <w:fldChar w:fldCharType="separate"/>
        </w:r>
        <w:r w:rsidR="005044D8" w:rsidRPr="00B63768">
          <w:rPr>
            <w:webHidden/>
            <w:lang w:val="mk-MK"/>
          </w:rPr>
          <w:t>38</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64" w:history="1">
        <w:r w:rsidR="00A940B9" w:rsidRPr="00B63768">
          <w:rPr>
            <w:rStyle w:val="Hyperlink"/>
            <w:lang w:val="mk-MK"/>
          </w:rPr>
          <w:t>5.1.</w:t>
        </w:r>
        <w:r w:rsidR="00A940B9" w:rsidRPr="00B63768">
          <w:rPr>
            <w:rFonts w:asciiTheme="minorHAnsi" w:eastAsiaTheme="minorEastAsia" w:hAnsiTheme="minorHAnsi" w:cstheme="minorBidi"/>
            <w:lang w:val="mk-MK"/>
          </w:rPr>
          <w:tab/>
        </w:r>
        <w:r w:rsidR="00A940B9" w:rsidRPr="00B63768">
          <w:rPr>
            <w:rStyle w:val="Hyperlink"/>
            <w:lang w:val="mk-MK"/>
          </w:rPr>
          <w:t>Показатели за солвентноста и капитализираноста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_Toc362007064 \h </w:instrText>
        </w:r>
        <w:r w:rsidRPr="00B63768">
          <w:rPr>
            <w:webHidden/>
            <w:lang w:val="mk-MK"/>
          </w:rPr>
        </w:r>
        <w:r w:rsidRPr="00B63768">
          <w:rPr>
            <w:webHidden/>
            <w:lang w:val="mk-MK"/>
          </w:rPr>
          <w:fldChar w:fldCharType="separate"/>
        </w:r>
        <w:r w:rsidR="005044D8" w:rsidRPr="00B63768">
          <w:rPr>
            <w:webHidden/>
            <w:lang w:val="mk-MK"/>
          </w:rPr>
          <w:t>39</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65" w:history="1">
        <w:r w:rsidR="00A940B9" w:rsidRPr="00B63768">
          <w:rPr>
            <w:rStyle w:val="Hyperlink"/>
            <w:lang w:val="mk-MK"/>
          </w:rPr>
          <w:t>5.2.</w:t>
        </w:r>
        <w:r w:rsidR="00A940B9" w:rsidRPr="00B63768">
          <w:rPr>
            <w:rFonts w:asciiTheme="minorHAnsi" w:eastAsiaTheme="minorEastAsia" w:hAnsiTheme="minorHAnsi" w:cstheme="minorBidi"/>
            <w:lang w:val="mk-MK"/>
          </w:rPr>
          <w:tab/>
        </w:r>
        <w:r w:rsidR="00A940B9" w:rsidRPr="00B63768">
          <w:rPr>
            <w:rStyle w:val="Hyperlink"/>
            <w:lang w:val="mk-MK"/>
          </w:rPr>
          <w:t>Движења и квалитет на сопствените средства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_Toc362007065 \h </w:instrText>
        </w:r>
        <w:r w:rsidRPr="00B63768">
          <w:rPr>
            <w:webHidden/>
            <w:lang w:val="mk-MK"/>
          </w:rPr>
        </w:r>
        <w:r w:rsidRPr="00B63768">
          <w:rPr>
            <w:webHidden/>
            <w:lang w:val="mk-MK"/>
          </w:rPr>
          <w:fldChar w:fldCharType="separate"/>
        </w:r>
        <w:r w:rsidR="005044D8" w:rsidRPr="00B63768">
          <w:rPr>
            <w:webHidden/>
            <w:lang w:val="mk-MK"/>
          </w:rPr>
          <w:t>40</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66" w:history="1">
        <w:r w:rsidR="00A940B9" w:rsidRPr="00B63768">
          <w:rPr>
            <w:rStyle w:val="Hyperlink"/>
            <w:lang w:val="mk-MK"/>
          </w:rPr>
          <w:t>5.3.</w:t>
        </w:r>
        <w:r w:rsidR="00A940B9" w:rsidRPr="00B63768">
          <w:rPr>
            <w:rFonts w:asciiTheme="minorHAnsi" w:eastAsiaTheme="minorEastAsia" w:hAnsiTheme="minorHAnsi" w:cstheme="minorBidi"/>
            <w:lang w:val="mk-MK"/>
          </w:rPr>
          <w:tab/>
        </w:r>
        <w:r w:rsidR="00A940B9" w:rsidRPr="00B63768">
          <w:rPr>
            <w:rStyle w:val="Hyperlink"/>
            <w:lang w:val="mk-MK"/>
          </w:rPr>
          <w:t>Движења и структура на капиталните барања и слободниот капитал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_Toc362007066 \h </w:instrText>
        </w:r>
        <w:r w:rsidRPr="00B63768">
          <w:rPr>
            <w:webHidden/>
            <w:lang w:val="mk-MK"/>
          </w:rPr>
        </w:r>
        <w:r w:rsidRPr="00B63768">
          <w:rPr>
            <w:webHidden/>
            <w:lang w:val="mk-MK"/>
          </w:rPr>
          <w:fldChar w:fldCharType="separate"/>
        </w:r>
        <w:r w:rsidR="005044D8" w:rsidRPr="00B63768">
          <w:rPr>
            <w:webHidden/>
            <w:lang w:val="mk-MK"/>
          </w:rPr>
          <w:t>41</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67" w:history="1">
        <w:r w:rsidR="00A940B9" w:rsidRPr="00B63768">
          <w:rPr>
            <w:rStyle w:val="Hyperlink"/>
            <w:lang w:val="mk-MK"/>
          </w:rPr>
          <w:t>5.4.</w:t>
        </w:r>
        <w:r w:rsidR="00A940B9" w:rsidRPr="00B63768">
          <w:rPr>
            <w:rFonts w:asciiTheme="minorHAnsi" w:eastAsiaTheme="minorEastAsia" w:hAnsiTheme="minorHAnsi" w:cstheme="minorBidi"/>
            <w:lang w:val="mk-MK"/>
          </w:rPr>
          <w:tab/>
        </w:r>
        <w:r w:rsidR="00A940B9" w:rsidRPr="00B63768">
          <w:rPr>
            <w:rStyle w:val="Hyperlink"/>
            <w:lang w:val="mk-MK"/>
          </w:rPr>
          <w:t>Стрес-тестирање на отпорноста на банкарскиот систем на хипотетички шокови</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_Toc362007067 \h </w:instrText>
        </w:r>
        <w:r w:rsidRPr="00B63768">
          <w:rPr>
            <w:webHidden/>
            <w:lang w:val="mk-MK"/>
          </w:rPr>
        </w:r>
        <w:r w:rsidRPr="00B63768">
          <w:rPr>
            <w:webHidden/>
            <w:lang w:val="mk-MK"/>
          </w:rPr>
          <w:fldChar w:fldCharType="separate"/>
        </w:r>
        <w:r w:rsidR="005044D8" w:rsidRPr="00B63768">
          <w:rPr>
            <w:webHidden/>
            <w:lang w:val="mk-MK"/>
          </w:rPr>
          <w:t>44</w:t>
        </w:r>
        <w:r w:rsidRPr="00B63768">
          <w:rPr>
            <w:webHidden/>
            <w:lang w:val="mk-MK"/>
          </w:rPr>
          <w:fldChar w:fldCharType="end"/>
        </w:r>
      </w:hyperlink>
    </w:p>
    <w:p w:rsidR="00A940B9" w:rsidRPr="00B63768" w:rsidRDefault="00040D2C">
      <w:pPr>
        <w:pStyle w:val="TOC2"/>
        <w:rPr>
          <w:rFonts w:asciiTheme="minorHAnsi" w:eastAsiaTheme="minorEastAsia" w:hAnsiTheme="minorHAnsi" w:cstheme="minorBidi"/>
          <w:b w:val="0"/>
          <w:lang w:val="mk-MK"/>
        </w:rPr>
      </w:pPr>
      <w:hyperlink w:anchor="_Toc362007068" w:history="1">
        <w:r w:rsidR="00A940B9" w:rsidRPr="00B63768">
          <w:rPr>
            <w:rStyle w:val="Hyperlink"/>
            <w:lang w:val="mk-MK"/>
          </w:rPr>
          <w:t>6.</w:t>
        </w:r>
        <w:r w:rsidR="00A940B9" w:rsidRPr="00B63768">
          <w:rPr>
            <w:rFonts w:asciiTheme="minorHAnsi" w:eastAsiaTheme="minorEastAsia" w:hAnsiTheme="minorHAnsi" w:cstheme="minorBidi"/>
            <w:b w:val="0"/>
            <w:lang w:val="mk-MK"/>
          </w:rPr>
          <w:tab/>
        </w:r>
        <w:r w:rsidR="00A940B9" w:rsidRPr="00B63768">
          <w:rPr>
            <w:rStyle w:val="Hyperlink"/>
            <w:lang w:val="mk-MK"/>
          </w:rPr>
          <w:t>Профитабилност</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_Toc362007068 \h </w:instrText>
        </w:r>
        <w:r w:rsidRPr="00B63768">
          <w:rPr>
            <w:webHidden/>
            <w:lang w:val="mk-MK"/>
          </w:rPr>
        </w:r>
        <w:r w:rsidRPr="00B63768">
          <w:rPr>
            <w:webHidden/>
            <w:lang w:val="mk-MK"/>
          </w:rPr>
          <w:fldChar w:fldCharType="separate"/>
        </w:r>
        <w:r w:rsidR="005044D8" w:rsidRPr="00B63768">
          <w:rPr>
            <w:webHidden/>
            <w:lang w:val="mk-MK"/>
          </w:rPr>
          <w:t>45</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70" w:history="1">
        <w:r w:rsidR="00A940B9" w:rsidRPr="00B63768">
          <w:rPr>
            <w:rStyle w:val="Hyperlink"/>
            <w:lang w:val="mk-MK"/>
          </w:rPr>
          <w:t>6.1.</w:t>
        </w:r>
        <w:r w:rsidR="00A940B9" w:rsidRPr="00B63768">
          <w:rPr>
            <w:rFonts w:asciiTheme="minorHAnsi" w:eastAsiaTheme="minorEastAsia" w:hAnsiTheme="minorHAnsi" w:cstheme="minorBidi"/>
            <w:lang w:val="mk-MK"/>
          </w:rPr>
          <w:tab/>
        </w:r>
        <w:r w:rsidR="00A940B9" w:rsidRPr="00B63768">
          <w:rPr>
            <w:rStyle w:val="Hyperlink"/>
            <w:lang w:val="mk-MK"/>
          </w:rPr>
          <w:t>Движење и структура на приходите и расходите на банкарскиот систем</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_Toc362007070 \h </w:instrText>
        </w:r>
        <w:r w:rsidRPr="00B63768">
          <w:rPr>
            <w:webHidden/>
            <w:lang w:val="mk-MK"/>
          </w:rPr>
        </w:r>
        <w:r w:rsidRPr="00B63768">
          <w:rPr>
            <w:webHidden/>
            <w:lang w:val="mk-MK"/>
          </w:rPr>
          <w:fldChar w:fldCharType="separate"/>
        </w:r>
        <w:r w:rsidR="005044D8" w:rsidRPr="00B63768">
          <w:rPr>
            <w:webHidden/>
            <w:lang w:val="mk-MK"/>
          </w:rPr>
          <w:t>46</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71" w:history="1">
        <w:r w:rsidR="00A940B9" w:rsidRPr="00B63768">
          <w:rPr>
            <w:rStyle w:val="Hyperlink"/>
            <w:lang w:val="mk-MK"/>
          </w:rPr>
          <w:t>6.2.</w:t>
        </w:r>
        <w:r w:rsidR="00A940B9" w:rsidRPr="00B63768">
          <w:rPr>
            <w:rFonts w:asciiTheme="minorHAnsi" w:eastAsiaTheme="minorEastAsia" w:hAnsiTheme="minorHAnsi" w:cstheme="minorBidi"/>
            <w:lang w:val="mk-MK"/>
          </w:rPr>
          <w:tab/>
        </w:r>
        <w:r w:rsidR="00A940B9" w:rsidRPr="00B63768">
          <w:rPr>
            <w:rStyle w:val="Hyperlink"/>
            <w:lang w:val="mk-MK"/>
          </w:rPr>
          <w:t>Движење на каматните стапки и каматниот распон</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_Toc362007071 \h </w:instrText>
        </w:r>
        <w:r w:rsidRPr="00B63768">
          <w:rPr>
            <w:webHidden/>
            <w:lang w:val="mk-MK"/>
          </w:rPr>
        </w:r>
        <w:r w:rsidRPr="00B63768">
          <w:rPr>
            <w:webHidden/>
            <w:lang w:val="mk-MK"/>
          </w:rPr>
          <w:fldChar w:fldCharType="separate"/>
        </w:r>
        <w:r w:rsidR="005044D8" w:rsidRPr="00B63768">
          <w:rPr>
            <w:webHidden/>
            <w:lang w:val="mk-MK"/>
          </w:rPr>
          <w:t>50</w:t>
        </w:r>
        <w:r w:rsidRPr="00B63768">
          <w:rPr>
            <w:webHidden/>
            <w:lang w:val="mk-MK"/>
          </w:rPr>
          <w:fldChar w:fldCharType="end"/>
        </w:r>
      </w:hyperlink>
    </w:p>
    <w:p w:rsidR="00A940B9" w:rsidRPr="00B63768" w:rsidRDefault="00040D2C">
      <w:pPr>
        <w:pStyle w:val="TOC3"/>
        <w:rPr>
          <w:rFonts w:asciiTheme="minorHAnsi" w:eastAsiaTheme="minorEastAsia" w:hAnsiTheme="minorHAnsi" w:cstheme="minorBidi"/>
          <w:lang w:val="mk-MK"/>
        </w:rPr>
      </w:pPr>
      <w:hyperlink w:anchor="_Toc362007072" w:history="1">
        <w:r w:rsidR="00A940B9" w:rsidRPr="00B63768">
          <w:rPr>
            <w:rStyle w:val="Hyperlink"/>
            <w:lang w:val="mk-MK"/>
          </w:rPr>
          <w:t>6.3.</w:t>
        </w:r>
        <w:r w:rsidR="00A940B9" w:rsidRPr="00B63768">
          <w:rPr>
            <w:rFonts w:asciiTheme="minorHAnsi" w:eastAsiaTheme="minorEastAsia" w:hAnsiTheme="minorHAnsi" w:cstheme="minorBidi"/>
            <w:lang w:val="mk-MK"/>
          </w:rPr>
          <w:tab/>
        </w:r>
        <w:r w:rsidR="00A940B9" w:rsidRPr="00B63768">
          <w:rPr>
            <w:rStyle w:val="Hyperlink"/>
            <w:lang w:val="mk-MK"/>
          </w:rPr>
          <w:t>Показатели за профитабилноста и ефикасноста на банките</w:t>
        </w:r>
        <w:r w:rsidR="00A940B9" w:rsidRPr="00B63768">
          <w:rPr>
            <w:webHidden/>
            <w:lang w:val="mk-MK"/>
          </w:rPr>
          <w:tab/>
        </w:r>
        <w:r w:rsidRPr="00B63768">
          <w:rPr>
            <w:webHidden/>
            <w:lang w:val="mk-MK"/>
          </w:rPr>
          <w:fldChar w:fldCharType="begin"/>
        </w:r>
        <w:r w:rsidR="00A940B9" w:rsidRPr="00B63768">
          <w:rPr>
            <w:webHidden/>
            <w:lang w:val="mk-MK"/>
          </w:rPr>
          <w:instrText xml:space="preserve"> PAGEREF _Toc362007072 \h </w:instrText>
        </w:r>
        <w:r w:rsidRPr="00B63768">
          <w:rPr>
            <w:webHidden/>
            <w:lang w:val="mk-MK"/>
          </w:rPr>
        </w:r>
        <w:r w:rsidRPr="00B63768">
          <w:rPr>
            <w:webHidden/>
            <w:lang w:val="mk-MK"/>
          </w:rPr>
          <w:fldChar w:fldCharType="separate"/>
        </w:r>
        <w:r w:rsidR="005044D8" w:rsidRPr="00B63768">
          <w:rPr>
            <w:webHidden/>
            <w:lang w:val="mk-MK"/>
          </w:rPr>
          <w:t>51</w:t>
        </w:r>
        <w:r w:rsidRPr="00B63768">
          <w:rPr>
            <w:webHidden/>
            <w:lang w:val="mk-MK"/>
          </w:rPr>
          <w:fldChar w:fldCharType="end"/>
        </w:r>
      </w:hyperlink>
    </w:p>
    <w:p w:rsidR="00A940B9" w:rsidRPr="00B63768" w:rsidRDefault="00040D2C" w:rsidP="00B61C5C">
      <w:pPr>
        <w:pStyle w:val="TOC7"/>
        <w:rPr>
          <w:rFonts w:asciiTheme="minorHAnsi" w:eastAsiaTheme="minorEastAsia" w:hAnsiTheme="minorHAnsi" w:cstheme="minorBidi"/>
          <w:noProof w:val="0"/>
          <w:lang w:val="mk-MK"/>
        </w:rPr>
      </w:pPr>
      <w:hyperlink w:anchor="_Toc362007073" w:history="1">
        <w:r w:rsidR="00A940B9" w:rsidRPr="00B63768">
          <w:rPr>
            <w:rStyle w:val="Hyperlink"/>
            <w:b w:val="0"/>
            <w:noProof w:val="0"/>
            <w:lang w:val="mk-MK"/>
          </w:rPr>
          <w:t>АНЕКСИ</w:t>
        </w:r>
        <w:r w:rsidR="00A940B9" w:rsidRPr="00B63768">
          <w:rPr>
            <w:noProof w:val="0"/>
            <w:webHidden/>
            <w:lang w:val="mk-MK"/>
          </w:rPr>
          <w:tab/>
        </w:r>
        <w:r w:rsidRPr="00B63768">
          <w:rPr>
            <w:noProof w:val="0"/>
            <w:webHidden/>
            <w:lang w:val="mk-MK"/>
          </w:rPr>
          <w:fldChar w:fldCharType="begin"/>
        </w:r>
        <w:r w:rsidR="00A940B9" w:rsidRPr="00B63768">
          <w:rPr>
            <w:noProof w:val="0"/>
            <w:webHidden/>
            <w:lang w:val="mk-MK"/>
          </w:rPr>
          <w:instrText xml:space="preserve"> PAGEREF _Toc362007073 \h </w:instrText>
        </w:r>
        <w:r w:rsidRPr="00B63768">
          <w:rPr>
            <w:noProof w:val="0"/>
            <w:webHidden/>
            <w:lang w:val="mk-MK"/>
          </w:rPr>
        </w:r>
        <w:r w:rsidRPr="00B63768">
          <w:rPr>
            <w:noProof w:val="0"/>
            <w:webHidden/>
            <w:lang w:val="mk-MK"/>
          </w:rPr>
          <w:fldChar w:fldCharType="separate"/>
        </w:r>
        <w:r w:rsidR="005044D8" w:rsidRPr="00B63768">
          <w:rPr>
            <w:noProof w:val="0"/>
            <w:webHidden/>
            <w:lang w:val="mk-MK"/>
          </w:rPr>
          <w:t>52</w:t>
        </w:r>
        <w:r w:rsidRPr="00B63768">
          <w:rPr>
            <w:noProof w:val="0"/>
            <w:webHidden/>
            <w:lang w:val="mk-MK"/>
          </w:rPr>
          <w:fldChar w:fldCharType="end"/>
        </w:r>
      </w:hyperlink>
    </w:p>
    <w:p w:rsidR="00C515A4" w:rsidRPr="00B63768" w:rsidRDefault="00040D2C" w:rsidP="00C515A4">
      <w:pPr>
        <w:jc w:val="left"/>
        <w:rPr>
          <w:rFonts w:cs="Tahoma"/>
          <w:lang w:val="mk-MK"/>
        </w:rPr>
      </w:pPr>
      <w:r w:rsidRPr="00B63768">
        <w:rPr>
          <w:rFonts w:cs="Tahoma"/>
          <w:b/>
          <w:lang w:val="mk-MK"/>
        </w:rPr>
        <w:fldChar w:fldCharType="end"/>
      </w:r>
    </w:p>
    <w:p w:rsidR="00C515A4" w:rsidRPr="00B63768" w:rsidRDefault="00C515A4">
      <w:pPr>
        <w:rPr>
          <w:rFonts w:cs="Tahoma"/>
          <w:lang w:val="mk-MK"/>
        </w:rPr>
      </w:pPr>
      <w:r w:rsidRPr="00B63768">
        <w:rPr>
          <w:rFonts w:cs="Tahoma"/>
          <w:lang w:val="mk-MK"/>
        </w:rPr>
        <w:br w:type="page"/>
      </w:r>
    </w:p>
    <w:p w:rsidR="00EA17A4" w:rsidRPr="00B63768" w:rsidRDefault="00C515A4" w:rsidP="008E6D94">
      <w:pPr>
        <w:pStyle w:val="Heading1"/>
        <w:numPr>
          <w:ilvl w:val="0"/>
          <w:numId w:val="0"/>
        </w:numPr>
        <w:ind w:left="-4111"/>
      </w:pPr>
      <w:bookmarkStart w:id="1" w:name="_Toc362007046"/>
      <w:r w:rsidRPr="00B63768">
        <w:lastRenderedPageBreak/>
        <w:t>Р</w:t>
      </w:r>
      <w:r w:rsidR="00EA17A4" w:rsidRPr="00B63768">
        <w:t>езиме</w:t>
      </w:r>
      <w:bookmarkEnd w:id="0"/>
      <w:bookmarkEnd w:id="1"/>
      <w:r w:rsidR="00EA17A4" w:rsidRPr="00B63768">
        <w:t xml:space="preserve"> </w:t>
      </w:r>
    </w:p>
    <w:p w:rsidR="00224EB6" w:rsidRPr="00B63768" w:rsidRDefault="00224EB6" w:rsidP="00D604AC">
      <w:pPr>
        <w:ind w:left="-4536"/>
        <w:rPr>
          <w:rFonts w:cs="Tahoma"/>
          <w:lang w:val="mk-MK"/>
        </w:rPr>
      </w:pPr>
    </w:p>
    <w:p w:rsidR="006D7435" w:rsidRPr="00B63768" w:rsidRDefault="00D22DB7" w:rsidP="00E76D76">
      <w:pPr>
        <w:ind w:left="-4536" w:firstLine="708"/>
        <w:rPr>
          <w:lang w:val="mk-MK"/>
        </w:rPr>
      </w:pPr>
      <w:r w:rsidRPr="00B63768">
        <w:rPr>
          <w:lang w:val="mk-MK"/>
        </w:rPr>
        <w:t xml:space="preserve">Во услови на </w:t>
      </w:r>
      <w:r w:rsidR="002D1170" w:rsidRPr="00B63768">
        <w:rPr>
          <w:lang w:val="mk-MK"/>
        </w:rPr>
        <w:t>с</w:t>
      </w:r>
      <w:r w:rsidR="002D1170">
        <w:rPr>
          <w:rFonts w:cs="Tahoma"/>
          <w:lang w:val="mk-MK"/>
        </w:rPr>
        <w:t>ѐ</w:t>
      </w:r>
      <w:r w:rsidR="002D1170" w:rsidRPr="00B63768">
        <w:rPr>
          <w:lang w:val="mk-MK"/>
        </w:rPr>
        <w:t xml:space="preserve"> </w:t>
      </w:r>
      <w:r w:rsidRPr="00B63768">
        <w:rPr>
          <w:lang w:val="mk-MK"/>
        </w:rPr>
        <w:t xml:space="preserve">уште слаби економски остварувања и очекувања за пад на активноста во </w:t>
      </w:r>
      <w:r w:rsidR="002D1170">
        <w:rPr>
          <w:lang w:val="mk-MK"/>
        </w:rPr>
        <w:t>евро-зона</w:t>
      </w:r>
      <w:r w:rsidRPr="00B63768">
        <w:rPr>
          <w:lang w:val="mk-MK"/>
        </w:rPr>
        <w:t>та, во првиот квартал од 2013 година продолжи трендот на забавување на растот на вкупните активности на банкарскиот систем</w:t>
      </w:r>
      <w:r w:rsidR="00004462" w:rsidRPr="00B63768">
        <w:rPr>
          <w:lang w:val="mk-MK"/>
        </w:rPr>
        <w:t xml:space="preserve"> на Република Македонија</w:t>
      </w:r>
      <w:r w:rsidRPr="00B63768">
        <w:rPr>
          <w:lang w:val="mk-MK"/>
        </w:rPr>
        <w:t>.</w:t>
      </w:r>
      <w:r w:rsidR="00004462" w:rsidRPr="00B63768">
        <w:rPr>
          <w:lang w:val="mk-MK"/>
        </w:rPr>
        <w:t xml:space="preserve"> Забави и растот на д</w:t>
      </w:r>
      <w:r w:rsidR="006D7435" w:rsidRPr="00B63768">
        <w:rPr>
          <w:lang w:val="mk-MK"/>
        </w:rPr>
        <w:t>епозитите на нефинансиските субјекти</w:t>
      </w:r>
      <w:r w:rsidR="00004462" w:rsidRPr="00B63768">
        <w:rPr>
          <w:lang w:val="mk-MK"/>
        </w:rPr>
        <w:t xml:space="preserve"> коишто </w:t>
      </w:r>
      <w:r w:rsidR="006D7435" w:rsidRPr="00B63768">
        <w:rPr>
          <w:lang w:val="mk-MK"/>
        </w:rPr>
        <w:t xml:space="preserve">имаат најголемо значење за динамиката на изворите на финансирање на банкарскиот систем, </w:t>
      </w:r>
      <w:r w:rsidR="00004462" w:rsidRPr="00B63768">
        <w:rPr>
          <w:lang w:val="mk-MK"/>
        </w:rPr>
        <w:t xml:space="preserve">бидејќи </w:t>
      </w:r>
      <w:r w:rsidR="006D7435" w:rsidRPr="00B63768">
        <w:rPr>
          <w:lang w:val="mk-MK"/>
        </w:rPr>
        <w:t xml:space="preserve">формираат повеќе од две третини од вкупните извори на средства. Притоа, во 2013 година </w:t>
      </w:r>
      <w:r w:rsidR="002D1170">
        <w:rPr>
          <w:lang w:val="mk-MK"/>
        </w:rPr>
        <w:t>и натаму се</w:t>
      </w:r>
      <w:r w:rsidR="006D7435" w:rsidRPr="00B63768">
        <w:rPr>
          <w:lang w:val="mk-MK"/>
        </w:rPr>
        <w:t xml:space="preserve"> </w:t>
      </w:r>
      <w:r w:rsidR="002D1170" w:rsidRPr="00B63768">
        <w:rPr>
          <w:lang w:val="mk-MK"/>
        </w:rPr>
        <w:t>штед</w:t>
      </w:r>
      <w:r w:rsidR="002D1170">
        <w:rPr>
          <w:lang w:val="mk-MK"/>
        </w:rPr>
        <w:t>и</w:t>
      </w:r>
      <w:r w:rsidR="002D1170" w:rsidRPr="00B63768">
        <w:rPr>
          <w:lang w:val="mk-MK"/>
        </w:rPr>
        <w:t xml:space="preserve"> </w:t>
      </w:r>
      <w:r w:rsidR="006D7435" w:rsidRPr="00B63768">
        <w:rPr>
          <w:lang w:val="mk-MK"/>
        </w:rPr>
        <w:t xml:space="preserve">на долг рок и во домашна валута. </w:t>
      </w:r>
      <w:r w:rsidRPr="00B63768">
        <w:rPr>
          <w:lang w:val="mk-MK"/>
        </w:rPr>
        <w:t xml:space="preserve">Имајќи ги предвид </w:t>
      </w:r>
      <w:r w:rsidR="006D7435" w:rsidRPr="00B63768">
        <w:rPr>
          <w:lang w:val="mk-MK"/>
        </w:rPr>
        <w:t xml:space="preserve">дополнителните </w:t>
      </w:r>
      <w:r w:rsidRPr="00B63768">
        <w:rPr>
          <w:lang w:val="mk-MK"/>
        </w:rPr>
        <w:t xml:space="preserve">промени коишто Народната банка ги направи </w:t>
      </w:r>
      <w:r w:rsidR="0006163C" w:rsidRPr="00B63768">
        <w:rPr>
          <w:lang w:val="mk-MK"/>
        </w:rPr>
        <w:t>кај</w:t>
      </w:r>
      <w:r w:rsidR="002763AF" w:rsidRPr="00B63768">
        <w:rPr>
          <w:lang w:val="mk-MK"/>
        </w:rPr>
        <w:t xml:space="preserve"> задолжителна</w:t>
      </w:r>
      <w:r w:rsidR="0006163C" w:rsidRPr="00B63768">
        <w:rPr>
          <w:lang w:val="mk-MK"/>
        </w:rPr>
        <w:t>та</w:t>
      </w:r>
      <w:r w:rsidR="002763AF" w:rsidRPr="00B63768">
        <w:rPr>
          <w:lang w:val="mk-MK"/>
        </w:rPr>
        <w:t xml:space="preserve"> резерва</w:t>
      </w:r>
      <w:r w:rsidR="006D7435" w:rsidRPr="00B63768">
        <w:rPr>
          <w:lang w:val="mk-MK"/>
        </w:rPr>
        <w:t xml:space="preserve"> во првата половина од</w:t>
      </w:r>
      <w:r w:rsidRPr="00B63768">
        <w:rPr>
          <w:lang w:val="mk-MK"/>
        </w:rPr>
        <w:t xml:space="preserve"> 2013 година, </w:t>
      </w:r>
      <w:r w:rsidR="0015693E" w:rsidRPr="00B63768">
        <w:rPr>
          <w:lang w:val="mk-MK"/>
        </w:rPr>
        <w:t>може</w:t>
      </w:r>
      <w:r w:rsidRPr="00B63768">
        <w:rPr>
          <w:lang w:val="mk-MK"/>
        </w:rPr>
        <w:t xml:space="preserve"> да се очекува</w:t>
      </w:r>
      <w:r w:rsidR="002D1170">
        <w:rPr>
          <w:lang w:val="mk-MK"/>
        </w:rPr>
        <w:t xml:space="preserve"> дека</w:t>
      </w:r>
      <w:r w:rsidRPr="00B63768">
        <w:rPr>
          <w:lang w:val="mk-MK"/>
        </w:rPr>
        <w:t xml:space="preserve"> овој тренд </w:t>
      </w:r>
      <w:r w:rsidR="002D1170">
        <w:rPr>
          <w:lang w:val="mk-MK"/>
        </w:rPr>
        <w:t>ќе</w:t>
      </w:r>
      <w:r w:rsidR="002D1170" w:rsidRPr="00B63768">
        <w:rPr>
          <w:lang w:val="mk-MK"/>
        </w:rPr>
        <w:t xml:space="preserve"> </w:t>
      </w:r>
      <w:r w:rsidRPr="00B63768">
        <w:rPr>
          <w:lang w:val="mk-MK"/>
        </w:rPr>
        <w:t xml:space="preserve">продолжи и во наредниот период. </w:t>
      </w:r>
    </w:p>
    <w:p w:rsidR="006D7435" w:rsidRPr="00B63768" w:rsidRDefault="006D7435" w:rsidP="00E76D76">
      <w:pPr>
        <w:ind w:left="-4536" w:firstLine="708"/>
        <w:rPr>
          <w:rFonts w:cs="Tahoma"/>
          <w:lang w:val="mk-MK"/>
        </w:rPr>
      </w:pPr>
    </w:p>
    <w:p w:rsidR="006D7435" w:rsidRPr="00B63768" w:rsidRDefault="002D1170" w:rsidP="00E76D76">
      <w:pPr>
        <w:ind w:left="-4536" w:firstLine="708"/>
        <w:rPr>
          <w:lang w:val="mk-MK"/>
        </w:rPr>
      </w:pPr>
      <w:r>
        <w:rPr>
          <w:lang w:val="mk-MK"/>
        </w:rPr>
        <w:t>Поради с</w:t>
      </w:r>
      <w:r w:rsidRPr="00B63768">
        <w:rPr>
          <w:lang w:val="mk-MK"/>
        </w:rPr>
        <w:t xml:space="preserve">огледувањата </w:t>
      </w:r>
      <w:r w:rsidR="006D7435" w:rsidRPr="00B63768">
        <w:rPr>
          <w:lang w:val="mk-MK"/>
        </w:rPr>
        <w:t>на банките за ризиците во реалниот сектор</w:t>
      </w:r>
      <w:r w:rsidR="002763AF" w:rsidRPr="00B63768">
        <w:rPr>
          <w:lang w:val="mk-MK"/>
        </w:rPr>
        <w:t xml:space="preserve">, конзервативните стратегии за кредитирање на матичните лица коишто се во процес на финансиско раздолжување </w:t>
      </w:r>
      <w:r w:rsidR="006D7435" w:rsidRPr="00B63768">
        <w:rPr>
          <w:lang w:val="mk-MK"/>
        </w:rPr>
        <w:t xml:space="preserve">и </w:t>
      </w:r>
      <w:r>
        <w:rPr>
          <w:lang w:val="mk-MK"/>
        </w:rPr>
        <w:t xml:space="preserve">поради </w:t>
      </w:r>
      <w:r w:rsidR="006D7435" w:rsidRPr="00B63768">
        <w:rPr>
          <w:lang w:val="mk-MK"/>
        </w:rPr>
        <w:t>пр</w:t>
      </w:r>
      <w:r>
        <w:rPr>
          <w:lang w:val="mk-MK"/>
        </w:rPr>
        <w:t>етпазливиот</w:t>
      </w:r>
      <w:r w:rsidR="006D7435" w:rsidRPr="00B63768">
        <w:rPr>
          <w:lang w:val="mk-MK"/>
        </w:rPr>
        <w:t xml:space="preserve"> пристап при одобрувањето на кредитните барања, </w:t>
      </w:r>
      <w:r w:rsidR="00CD735B" w:rsidRPr="00B63768">
        <w:rPr>
          <w:lang w:val="mk-MK"/>
        </w:rPr>
        <w:t>кварталниот</w:t>
      </w:r>
      <w:r w:rsidR="006D7435" w:rsidRPr="00B63768">
        <w:rPr>
          <w:lang w:val="mk-MK"/>
        </w:rPr>
        <w:t xml:space="preserve"> раст на кредитната активност</w:t>
      </w:r>
      <w:r w:rsidR="00041242" w:rsidRPr="00B63768">
        <w:rPr>
          <w:lang w:val="mk-MK"/>
        </w:rPr>
        <w:t xml:space="preserve"> на нефинансиските субјекти</w:t>
      </w:r>
      <w:r w:rsidR="00CD735B" w:rsidRPr="00B63768">
        <w:rPr>
          <w:lang w:val="mk-MK"/>
        </w:rPr>
        <w:t xml:space="preserve"> </w:t>
      </w:r>
      <w:r w:rsidRPr="00B63768">
        <w:rPr>
          <w:lang w:val="mk-MK"/>
        </w:rPr>
        <w:t>с</w:t>
      </w:r>
      <w:r>
        <w:rPr>
          <w:lang w:val="mk-MK"/>
        </w:rPr>
        <w:t>ѐ</w:t>
      </w:r>
      <w:r w:rsidRPr="00B63768">
        <w:rPr>
          <w:lang w:val="mk-MK"/>
        </w:rPr>
        <w:t xml:space="preserve"> </w:t>
      </w:r>
      <w:r w:rsidR="00CD735B" w:rsidRPr="00B63768">
        <w:rPr>
          <w:lang w:val="mk-MK"/>
        </w:rPr>
        <w:t>уште е понизок од 1%</w:t>
      </w:r>
      <w:r w:rsidR="006D7435" w:rsidRPr="00B63768">
        <w:rPr>
          <w:lang w:val="mk-MK"/>
        </w:rPr>
        <w:t>. Носител на кредитниот раст во првиот квартал од годината се кредитите на домаќинствата и кредити</w:t>
      </w:r>
      <w:r w:rsidR="00004462" w:rsidRPr="00B63768">
        <w:rPr>
          <w:lang w:val="mk-MK"/>
        </w:rPr>
        <w:t>те во денари</w:t>
      </w:r>
      <w:r w:rsidR="006D7435" w:rsidRPr="00B63768">
        <w:rPr>
          <w:lang w:val="mk-MK"/>
        </w:rPr>
        <w:t xml:space="preserve">, што соодветствува со трендот на „денаризација“ на депозитната база на банките. Ваквиот тренд на побрз раст на денарските кредити продолжи и во вториот квартал од 2013 година. И покрај забавувањето на кредитната активност, </w:t>
      </w:r>
      <w:r w:rsidR="00004462" w:rsidRPr="00B63768">
        <w:rPr>
          <w:lang w:val="mk-MK"/>
        </w:rPr>
        <w:t xml:space="preserve">сигналите за </w:t>
      </w:r>
      <w:r w:rsidR="006D7435" w:rsidRPr="00B63768">
        <w:rPr>
          <w:lang w:val="mk-MK"/>
        </w:rPr>
        <w:t>закрепнување на домашната економија и очекувањата за постабилен амбиент треба да пр</w:t>
      </w:r>
      <w:r w:rsidR="00004462" w:rsidRPr="00B63768">
        <w:rPr>
          <w:lang w:val="mk-MK"/>
        </w:rPr>
        <w:t>и</w:t>
      </w:r>
      <w:r w:rsidR="006D7435" w:rsidRPr="00B63768">
        <w:rPr>
          <w:lang w:val="mk-MK"/>
        </w:rPr>
        <w:t xml:space="preserve">донесат за зголемување на финансиската поддршка на нефинансиските субјекти. </w:t>
      </w:r>
      <w:r w:rsidR="00004462" w:rsidRPr="00B63768">
        <w:rPr>
          <w:lang w:val="mk-MK"/>
        </w:rPr>
        <w:t>Воедно</w:t>
      </w:r>
      <w:r>
        <w:rPr>
          <w:lang w:val="mk-MK"/>
        </w:rPr>
        <w:t>,</w:t>
      </w:r>
      <w:r w:rsidR="006D7435" w:rsidRPr="00B63768">
        <w:rPr>
          <w:lang w:val="mk-MK"/>
        </w:rPr>
        <w:t xml:space="preserve"> и промените во </w:t>
      </w:r>
      <w:r w:rsidR="002763AF" w:rsidRPr="00B63768">
        <w:rPr>
          <w:lang w:val="mk-MK"/>
        </w:rPr>
        <w:t>оперативната рамка на монетарната политика на Народната банка во</w:t>
      </w:r>
      <w:r w:rsidR="006D7435" w:rsidRPr="00B63768">
        <w:rPr>
          <w:lang w:val="mk-MK"/>
        </w:rPr>
        <w:t xml:space="preserve"> 2013 година</w:t>
      </w:r>
      <w:r w:rsidR="00004462" w:rsidRPr="00B63768">
        <w:rPr>
          <w:lang w:val="mk-MK"/>
        </w:rPr>
        <w:t xml:space="preserve"> имаат за </w:t>
      </w:r>
      <w:r w:rsidR="006D7435" w:rsidRPr="00B63768">
        <w:rPr>
          <w:lang w:val="mk-MK"/>
        </w:rPr>
        <w:t xml:space="preserve">цел да </w:t>
      </w:r>
      <w:r w:rsidR="00004462" w:rsidRPr="00B63768">
        <w:rPr>
          <w:lang w:val="mk-MK"/>
        </w:rPr>
        <w:t xml:space="preserve">го </w:t>
      </w:r>
      <w:r w:rsidR="006D7435" w:rsidRPr="00B63768">
        <w:rPr>
          <w:lang w:val="mk-MK"/>
        </w:rPr>
        <w:t>поддр</w:t>
      </w:r>
      <w:r w:rsidR="00004462" w:rsidRPr="00B63768">
        <w:rPr>
          <w:lang w:val="mk-MK"/>
        </w:rPr>
        <w:t>жат</w:t>
      </w:r>
      <w:r w:rsidR="006D7435" w:rsidRPr="00B63768">
        <w:rPr>
          <w:lang w:val="mk-MK"/>
        </w:rPr>
        <w:t xml:space="preserve"> кредитниот раст</w:t>
      </w:r>
      <w:r w:rsidR="00004462" w:rsidRPr="00B63768">
        <w:rPr>
          <w:lang w:val="mk-MK"/>
        </w:rPr>
        <w:t xml:space="preserve"> кон нефинансискиот сектор</w:t>
      </w:r>
      <w:r w:rsidR="006D7435" w:rsidRPr="00B63768">
        <w:rPr>
          <w:lang w:val="mk-MK"/>
        </w:rPr>
        <w:t xml:space="preserve">. </w:t>
      </w:r>
    </w:p>
    <w:p w:rsidR="006D7435" w:rsidRPr="00B63768" w:rsidRDefault="006D7435" w:rsidP="00E76D76">
      <w:pPr>
        <w:ind w:left="-4536" w:firstLine="708"/>
        <w:rPr>
          <w:rFonts w:cs="Tahoma"/>
          <w:lang w:val="mk-MK"/>
        </w:rPr>
      </w:pPr>
    </w:p>
    <w:p w:rsidR="006D7435" w:rsidRPr="00B63768" w:rsidRDefault="002D1170" w:rsidP="00E76D76">
      <w:pPr>
        <w:ind w:left="-4536" w:firstLine="708"/>
        <w:rPr>
          <w:rFonts w:cs="Tahoma"/>
          <w:lang w:val="mk-MK"/>
        </w:rPr>
      </w:pPr>
      <w:r>
        <w:rPr>
          <w:rFonts w:cs="Tahoma"/>
          <w:lang w:val="mk-MK"/>
        </w:rPr>
        <w:t>В</w:t>
      </w:r>
      <w:r w:rsidRPr="00B63768">
        <w:rPr>
          <w:rFonts w:cs="Tahoma"/>
          <w:lang w:val="mk-MK"/>
        </w:rPr>
        <w:t xml:space="preserve">о првиот квартал од 2013 година, </w:t>
      </w:r>
      <w:r>
        <w:rPr>
          <w:rFonts w:cs="Tahoma"/>
          <w:lang w:val="mk-MK"/>
        </w:rPr>
        <w:t>к</w:t>
      </w:r>
      <w:r w:rsidRPr="00B63768">
        <w:rPr>
          <w:rFonts w:cs="Tahoma"/>
          <w:lang w:val="mk-MK"/>
        </w:rPr>
        <w:t xml:space="preserve">редитниот </w:t>
      </w:r>
      <w:r w:rsidR="006D7435" w:rsidRPr="00B63768">
        <w:rPr>
          <w:rFonts w:cs="Tahoma"/>
          <w:lang w:val="mk-MK"/>
        </w:rPr>
        <w:t>ризик кај банките се зголеми</w:t>
      </w:r>
      <w:r w:rsidR="00004462" w:rsidRPr="00B63768">
        <w:rPr>
          <w:lang w:val="mk-MK"/>
        </w:rPr>
        <w:t xml:space="preserve">, пред </w:t>
      </w:r>
      <w:r w:rsidRPr="00B63768">
        <w:rPr>
          <w:lang w:val="mk-MK"/>
        </w:rPr>
        <w:t>с</w:t>
      </w:r>
      <w:r>
        <w:rPr>
          <w:lang w:val="mk-MK"/>
        </w:rPr>
        <w:t>ѐ</w:t>
      </w:r>
      <w:r w:rsidRPr="00B63768">
        <w:rPr>
          <w:lang w:val="mk-MK"/>
        </w:rPr>
        <w:t xml:space="preserve"> </w:t>
      </w:r>
      <w:r w:rsidR="00004462" w:rsidRPr="00B63768">
        <w:rPr>
          <w:lang w:val="mk-MK"/>
        </w:rPr>
        <w:t>поради ризиците кои</w:t>
      </w:r>
      <w:r w:rsidR="001E4660">
        <w:rPr>
          <w:lang w:val="mk-MK"/>
        </w:rPr>
        <w:t>што</w:t>
      </w:r>
      <w:r w:rsidR="00004462" w:rsidRPr="00B63768">
        <w:rPr>
          <w:lang w:val="mk-MK"/>
        </w:rPr>
        <w:t xml:space="preserve"> доаѓаат од корпоративниот сектор. </w:t>
      </w:r>
      <w:r w:rsidR="006D7435" w:rsidRPr="00B63768">
        <w:rPr>
          <w:rFonts w:cs="Tahoma"/>
          <w:lang w:val="mk-MK"/>
        </w:rPr>
        <w:t xml:space="preserve">Растот на нефункционалните кредити забрза </w:t>
      </w:r>
      <w:r w:rsidR="00A119E2" w:rsidRPr="00B63768">
        <w:rPr>
          <w:lang w:val="mk-MK"/>
        </w:rPr>
        <w:t xml:space="preserve">при што </w:t>
      </w:r>
      <w:r w:rsidR="001E4660" w:rsidRPr="00B63768">
        <w:rPr>
          <w:lang w:val="mk-MK"/>
        </w:rPr>
        <w:t>на 31.3.2013 година</w:t>
      </w:r>
      <w:r w:rsidR="001E4660">
        <w:rPr>
          <w:lang w:val="mk-MK"/>
        </w:rPr>
        <w:t xml:space="preserve"> </w:t>
      </w:r>
      <w:r w:rsidR="00A119E2" w:rsidRPr="00B63768">
        <w:rPr>
          <w:lang w:val="mk-MK"/>
        </w:rPr>
        <w:t>нивното учество во вкупните кредити достигна 11,9%</w:t>
      </w:r>
      <w:r w:rsidR="006D7435" w:rsidRPr="00B63768">
        <w:rPr>
          <w:rFonts w:cs="Tahoma"/>
          <w:lang w:val="mk-MK"/>
        </w:rPr>
        <w:t xml:space="preserve">. Сепак, </w:t>
      </w:r>
      <w:r w:rsidR="001C304E" w:rsidRPr="00B63768">
        <w:rPr>
          <w:rFonts w:cs="Tahoma"/>
          <w:lang w:val="mk-MK"/>
        </w:rPr>
        <w:t xml:space="preserve">нефункционалните кредити </w:t>
      </w:r>
      <w:r w:rsidR="006D7435" w:rsidRPr="00B63768">
        <w:rPr>
          <w:rFonts w:cs="Tahoma"/>
          <w:lang w:val="mk-MK"/>
        </w:rPr>
        <w:t>сѐ уште се целосн</w:t>
      </w:r>
      <w:r w:rsidR="001C304E">
        <w:rPr>
          <w:rFonts w:cs="Tahoma"/>
          <w:lang w:val="mk-MK"/>
        </w:rPr>
        <w:t>о</w:t>
      </w:r>
      <w:r w:rsidR="006D7435" w:rsidRPr="00B63768">
        <w:rPr>
          <w:rFonts w:cs="Tahoma"/>
          <w:lang w:val="mk-MK"/>
        </w:rPr>
        <w:t xml:space="preserve"> покриен</w:t>
      </w:r>
      <w:r w:rsidR="001C304E">
        <w:rPr>
          <w:rFonts w:cs="Tahoma"/>
          <w:lang w:val="mk-MK"/>
        </w:rPr>
        <w:t>и</w:t>
      </w:r>
      <w:r w:rsidR="006D7435" w:rsidRPr="00B63768">
        <w:rPr>
          <w:rFonts w:cs="Tahoma"/>
          <w:lang w:val="mk-MK"/>
        </w:rPr>
        <w:t xml:space="preserve"> со вкупната пресметана исправка на вредноста, што ги ублажува последиците од забрзување</w:t>
      </w:r>
      <w:r w:rsidR="00A119E2" w:rsidRPr="00B63768">
        <w:rPr>
          <w:rFonts w:cs="Tahoma"/>
          <w:lang w:val="mk-MK"/>
        </w:rPr>
        <w:t>то на растот на овие кредити</w:t>
      </w:r>
      <w:r w:rsidR="006D7435" w:rsidRPr="00B63768">
        <w:rPr>
          <w:rFonts w:cs="Tahoma"/>
          <w:lang w:val="mk-MK"/>
        </w:rPr>
        <w:t xml:space="preserve">. </w:t>
      </w:r>
      <w:r w:rsidR="00A119E2" w:rsidRPr="00B63768">
        <w:rPr>
          <w:rFonts w:cs="Tahoma"/>
          <w:lang w:val="mk-MK"/>
        </w:rPr>
        <w:t xml:space="preserve">Исто така, </w:t>
      </w:r>
      <w:r w:rsidR="00A119E2" w:rsidRPr="00B63768">
        <w:rPr>
          <w:lang w:val="mk-MK"/>
        </w:rPr>
        <w:t>високата капитализираност на банкарскиот систем овозможува и при хипотетичка целосна ненаплатливост на нефункционалните кредити, да не биде загрозена адекватноста на капиталот, ниту на ниво на банкарскиот систем, ниту по поединечна банка.</w:t>
      </w:r>
    </w:p>
    <w:p w:rsidR="006D7435" w:rsidRPr="00B63768" w:rsidRDefault="006D7435" w:rsidP="00E76D76">
      <w:pPr>
        <w:ind w:left="-4536" w:firstLine="708"/>
        <w:rPr>
          <w:rFonts w:cs="Tahoma"/>
          <w:highlight w:val="yellow"/>
          <w:lang w:val="mk-MK"/>
        </w:rPr>
      </w:pPr>
    </w:p>
    <w:p w:rsidR="006D7435" w:rsidRPr="00B63768" w:rsidRDefault="006D7435" w:rsidP="00E76D76">
      <w:pPr>
        <w:ind w:left="-4536" w:firstLine="708"/>
        <w:rPr>
          <w:rFonts w:cs="Tahoma"/>
          <w:highlight w:val="yellow"/>
          <w:lang w:val="mk-MK"/>
        </w:rPr>
      </w:pPr>
      <w:r w:rsidRPr="00B63768">
        <w:rPr>
          <w:rFonts w:cs="Tahoma"/>
          <w:lang w:val="mk-MK"/>
        </w:rPr>
        <w:t xml:space="preserve">Ликвидноста на банкарскиот сектор е стабилна и </w:t>
      </w:r>
      <w:r w:rsidR="001D5B09">
        <w:rPr>
          <w:rFonts w:cs="Tahoma"/>
        </w:rPr>
        <w:t xml:space="preserve">e </w:t>
      </w:r>
      <w:r w:rsidRPr="00B63768">
        <w:rPr>
          <w:rFonts w:cs="Tahoma"/>
          <w:lang w:val="mk-MK"/>
        </w:rPr>
        <w:t xml:space="preserve">на високо ниво, што се должи на постојаниот раст на ликвидните средства. </w:t>
      </w:r>
      <w:r w:rsidR="00A119E2" w:rsidRPr="00B63768">
        <w:rPr>
          <w:rFonts w:cs="Tahoma"/>
          <w:lang w:val="mk-MK"/>
        </w:rPr>
        <w:t>В</w:t>
      </w:r>
      <w:r w:rsidRPr="00B63768">
        <w:rPr>
          <w:rFonts w:cs="Tahoma"/>
          <w:lang w:val="mk-MK"/>
        </w:rPr>
        <w:t>исоката покриеност на депозитите на население</w:t>
      </w:r>
      <w:r w:rsidR="001E4660">
        <w:rPr>
          <w:rFonts w:cs="Tahoma"/>
          <w:lang w:val="mk-MK"/>
        </w:rPr>
        <w:t>то</w:t>
      </w:r>
      <w:r w:rsidRPr="00B63768">
        <w:rPr>
          <w:rFonts w:cs="Tahoma"/>
          <w:lang w:val="mk-MK"/>
        </w:rPr>
        <w:t xml:space="preserve"> и краткорочни</w:t>
      </w:r>
      <w:r w:rsidR="00A119E2" w:rsidRPr="00B63768">
        <w:rPr>
          <w:rFonts w:cs="Tahoma"/>
          <w:lang w:val="mk-MK"/>
        </w:rPr>
        <w:t>те</w:t>
      </w:r>
      <w:r w:rsidRPr="00B63768">
        <w:rPr>
          <w:rFonts w:cs="Tahoma"/>
          <w:lang w:val="mk-MK"/>
        </w:rPr>
        <w:t xml:space="preserve"> обврски на банките со ликвидни средства </w:t>
      </w:r>
      <w:r w:rsidR="00A119E2" w:rsidRPr="00B63768">
        <w:rPr>
          <w:rFonts w:cs="Tahoma"/>
          <w:lang w:val="mk-MK"/>
        </w:rPr>
        <w:t xml:space="preserve">е значаен столб </w:t>
      </w:r>
      <w:r w:rsidRPr="00B63768">
        <w:rPr>
          <w:rFonts w:cs="Tahoma"/>
          <w:lang w:val="mk-MK"/>
        </w:rPr>
        <w:t>за сигурноста</w:t>
      </w:r>
      <w:r w:rsidR="00A119E2" w:rsidRPr="00B63768">
        <w:rPr>
          <w:rFonts w:cs="Tahoma"/>
          <w:lang w:val="mk-MK"/>
        </w:rPr>
        <w:t xml:space="preserve"> и стабилноста </w:t>
      </w:r>
      <w:r w:rsidRPr="00B63768">
        <w:rPr>
          <w:rFonts w:cs="Tahoma"/>
          <w:lang w:val="mk-MK"/>
        </w:rPr>
        <w:t>на банкарс</w:t>
      </w:r>
      <w:r w:rsidR="0015693E" w:rsidRPr="00B63768">
        <w:rPr>
          <w:rFonts w:cs="Tahoma"/>
          <w:lang w:val="mk-MK"/>
        </w:rPr>
        <w:t>к</w:t>
      </w:r>
      <w:r w:rsidRPr="00B63768">
        <w:rPr>
          <w:rFonts w:cs="Tahoma"/>
          <w:lang w:val="mk-MK"/>
        </w:rPr>
        <w:t>иот систем</w:t>
      </w:r>
      <w:r w:rsidR="00A119E2" w:rsidRPr="00B63768">
        <w:rPr>
          <w:rFonts w:cs="Tahoma"/>
          <w:lang w:val="mk-MK"/>
        </w:rPr>
        <w:t xml:space="preserve">, што </w:t>
      </w:r>
      <w:r w:rsidRPr="00B63768">
        <w:rPr>
          <w:rFonts w:cs="Tahoma"/>
          <w:lang w:val="mk-MK"/>
        </w:rPr>
        <w:t>се потврдува и со спроведените стрес-</w:t>
      </w:r>
      <w:r w:rsidR="001E4660" w:rsidRPr="00B63768">
        <w:rPr>
          <w:rFonts w:cs="Tahoma"/>
          <w:lang w:val="mk-MK"/>
        </w:rPr>
        <w:t>тест</w:t>
      </w:r>
      <w:r w:rsidR="001E4660">
        <w:rPr>
          <w:rFonts w:cs="Tahoma"/>
          <w:lang w:val="mk-MK"/>
        </w:rPr>
        <w:t>ирања</w:t>
      </w:r>
      <w:r w:rsidR="001E4660" w:rsidRPr="00B63768">
        <w:rPr>
          <w:rFonts w:cs="Tahoma"/>
          <w:lang w:val="mk-MK"/>
        </w:rPr>
        <w:t xml:space="preserve"> </w:t>
      </w:r>
      <w:r w:rsidRPr="00B63768">
        <w:rPr>
          <w:rFonts w:cs="Tahoma"/>
          <w:lang w:val="mk-MK"/>
        </w:rPr>
        <w:t xml:space="preserve">на отпорноста на банкарскиот систем на ликвидносни шокови. </w:t>
      </w:r>
    </w:p>
    <w:p w:rsidR="006D7435" w:rsidRPr="00B63768" w:rsidRDefault="006D7435" w:rsidP="00E76D76">
      <w:pPr>
        <w:ind w:left="-4536" w:firstLine="708"/>
        <w:rPr>
          <w:rFonts w:cs="Tahoma"/>
          <w:highlight w:val="yellow"/>
          <w:lang w:val="mk-MK"/>
        </w:rPr>
      </w:pPr>
    </w:p>
    <w:p w:rsidR="006D7435" w:rsidRPr="00B63768" w:rsidRDefault="00A119E2" w:rsidP="00E76D76">
      <w:pPr>
        <w:ind w:left="-4536" w:firstLine="708"/>
        <w:rPr>
          <w:rFonts w:cs="Tahoma"/>
          <w:highlight w:val="yellow"/>
          <w:lang w:val="mk-MK"/>
        </w:rPr>
      </w:pPr>
      <w:r w:rsidRPr="00B63768">
        <w:rPr>
          <w:lang w:val="mk-MK"/>
        </w:rPr>
        <w:t xml:space="preserve">Стапката на адекватност на капиталот на банкарскиот систем е двојно поголема од законскиот минимум и изнесува 17,3% (17,1% на 31.12.2012 година), додека стапката на основен капитал во однос на активата пондерирана според ризиците изнесува 14,7% (14,6% на 31.12.2012). Се очекува натамошно јакнење на капиталната позиција на банкарскиот систем, како резултат на заокружувањето на процесот на реинвестирање на </w:t>
      </w:r>
      <w:r w:rsidRPr="00B63768">
        <w:rPr>
          <w:lang w:val="mk-MK"/>
        </w:rPr>
        <w:lastRenderedPageBreak/>
        <w:t xml:space="preserve">добивката за 2012 година којшто започна во првиот квартал од годината и на најавите за нови вложувања во субординирани инструменти во банките. Високата адекватност на капиталот, односно силната солвентна позиција на банкарскиот систем, е основата за неговата стабилност и отпорност на симулираните шокови, и покрај тоа што спроведените </w:t>
      </w:r>
      <w:r w:rsidR="001E4660" w:rsidRPr="00B63768">
        <w:rPr>
          <w:lang w:val="mk-MK"/>
        </w:rPr>
        <w:t>стрес</w:t>
      </w:r>
      <w:r w:rsidR="001E4660">
        <w:rPr>
          <w:lang w:val="mk-MK"/>
        </w:rPr>
        <w:t>-</w:t>
      </w:r>
      <w:r w:rsidR="001E4660" w:rsidRPr="00B63768">
        <w:rPr>
          <w:lang w:val="mk-MK"/>
        </w:rPr>
        <w:t>тест</w:t>
      </w:r>
      <w:r w:rsidR="001E4660">
        <w:rPr>
          <w:lang w:val="mk-MK"/>
        </w:rPr>
        <w:t>ирања</w:t>
      </w:r>
      <w:r w:rsidR="001E4660" w:rsidRPr="00B63768">
        <w:rPr>
          <w:lang w:val="mk-MK"/>
        </w:rPr>
        <w:t xml:space="preserve"> </w:t>
      </w:r>
      <w:r w:rsidRPr="00B63768">
        <w:rPr>
          <w:lang w:val="mk-MK"/>
        </w:rPr>
        <w:t xml:space="preserve">укажуваат на </w:t>
      </w:r>
      <w:r w:rsidR="001E4660">
        <w:rPr>
          <w:lang w:val="mk-MK"/>
        </w:rPr>
        <w:t>малку</w:t>
      </w:r>
      <w:r w:rsidR="001E4660" w:rsidRPr="00B63768">
        <w:rPr>
          <w:lang w:val="mk-MK"/>
        </w:rPr>
        <w:t xml:space="preserve"> </w:t>
      </w:r>
      <w:r w:rsidRPr="00B63768">
        <w:rPr>
          <w:lang w:val="mk-MK"/>
        </w:rPr>
        <w:t xml:space="preserve">поголема потреба за докапитализација кај поодделни банки во однос на крајот на 2012 година. </w:t>
      </w:r>
    </w:p>
    <w:p w:rsidR="00A119E2" w:rsidRPr="00B63768" w:rsidRDefault="00A119E2" w:rsidP="00E76D76">
      <w:pPr>
        <w:ind w:left="-4536" w:firstLine="708"/>
        <w:rPr>
          <w:rFonts w:cs="Tahoma"/>
          <w:lang w:val="mk-MK"/>
        </w:rPr>
      </w:pPr>
    </w:p>
    <w:p w:rsidR="006D7435" w:rsidRPr="00B63768" w:rsidRDefault="00A119E2" w:rsidP="00E76D76">
      <w:pPr>
        <w:ind w:left="-4536" w:firstLine="708"/>
        <w:rPr>
          <w:rFonts w:cs="Tahoma"/>
          <w:lang w:val="mk-MK"/>
        </w:rPr>
      </w:pPr>
      <w:r w:rsidRPr="00B63768">
        <w:rPr>
          <w:rFonts w:cs="Tahoma"/>
          <w:lang w:val="mk-MK"/>
        </w:rPr>
        <w:t>Како и во истиот период од претходните две години</w:t>
      </w:r>
      <w:r w:rsidR="001E4660">
        <w:rPr>
          <w:rFonts w:cs="Tahoma"/>
          <w:lang w:val="mk-MK"/>
        </w:rPr>
        <w:t>,</w:t>
      </w:r>
      <w:r w:rsidRPr="00B63768">
        <w:rPr>
          <w:rFonts w:cs="Tahoma"/>
          <w:lang w:val="mk-MK"/>
        </w:rPr>
        <w:t xml:space="preserve"> и во</w:t>
      </w:r>
      <w:r w:rsidR="006D7435" w:rsidRPr="00B63768">
        <w:rPr>
          <w:rFonts w:cs="Tahoma"/>
          <w:lang w:val="mk-MK"/>
        </w:rPr>
        <w:t xml:space="preserve"> првиот квартал од 2013 година, банките во Република Македонија </w:t>
      </w:r>
      <w:r w:rsidRPr="00B63768">
        <w:rPr>
          <w:rFonts w:cs="Tahoma"/>
          <w:lang w:val="mk-MK"/>
        </w:rPr>
        <w:t>прикажаа загуба</w:t>
      </w:r>
      <w:r w:rsidR="006D7435" w:rsidRPr="00B63768">
        <w:rPr>
          <w:rFonts w:cs="Tahoma"/>
          <w:lang w:val="mk-MK"/>
        </w:rPr>
        <w:t xml:space="preserve">, </w:t>
      </w:r>
      <w:r w:rsidRPr="00B63768">
        <w:rPr>
          <w:rFonts w:cs="Tahoma"/>
          <w:lang w:val="mk-MK"/>
        </w:rPr>
        <w:t xml:space="preserve">којашто е сепак значително пониска </w:t>
      </w:r>
      <w:r w:rsidR="006D7435" w:rsidRPr="00B63768">
        <w:rPr>
          <w:rFonts w:cs="Tahoma"/>
          <w:lang w:val="mk-MK"/>
        </w:rPr>
        <w:t xml:space="preserve">од загубата остварена </w:t>
      </w:r>
      <w:r w:rsidR="001E4660">
        <w:rPr>
          <w:rFonts w:cs="Tahoma"/>
          <w:lang w:val="mk-MK"/>
        </w:rPr>
        <w:t xml:space="preserve">заклучно </w:t>
      </w:r>
      <w:r w:rsidR="002763AF" w:rsidRPr="00B63768">
        <w:rPr>
          <w:rFonts w:cs="Tahoma"/>
          <w:lang w:val="mk-MK"/>
        </w:rPr>
        <w:t xml:space="preserve">со </w:t>
      </w:r>
      <w:r w:rsidRPr="00B63768">
        <w:rPr>
          <w:rFonts w:cs="Tahoma"/>
          <w:lang w:val="mk-MK"/>
        </w:rPr>
        <w:t>31.3.</w:t>
      </w:r>
      <w:r w:rsidR="006D7435" w:rsidRPr="00B63768">
        <w:rPr>
          <w:rFonts w:cs="Tahoma"/>
          <w:lang w:val="mk-MK"/>
        </w:rPr>
        <w:t>2012 година</w:t>
      </w:r>
      <w:r w:rsidR="00E800DC" w:rsidRPr="00B63768">
        <w:rPr>
          <w:rFonts w:cs="Tahoma"/>
          <w:lang w:val="mk-MK"/>
        </w:rPr>
        <w:t>, а веќе во април 2013 година, финансискиот резултат доби позитивна вредност</w:t>
      </w:r>
      <w:r w:rsidR="006D7435" w:rsidRPr="00B63768">
        <w:rPr>
          <w:rFonts w:cs="Tahoma"/>
          <w:lang w:val="mk-MK"/>
        </w:rPr>
        <w:t xml:space="preserve">. </w:t>
      </w:r>
      <w:r w:rsidR="00E800DC" w:rsidRPr="00B63768">
        <w:rPr>
          <w:rFonts w:cs="Tahoma"/>
          <w:lang w:val="mk-MK"/>
        </w:rPr>
        <w:t>Ј</w:t>
      </w:r>
      <w:r w:rsidR="006D7435" w:rsidRPr="00B63768">
        <w:rPr>
          <w:rFonts w:cs="Tahoma"/>
          <w:lang w:val="mk-MK"/>
        </w:rPr>
        <w:t>акнењето на приходите од основната дејност, т.е. на нето каматниот приход и на нето</w:t>
      </w:r>
      <w:r w:rsidR="001E4660">
        <w:rPr>
          <w:rFonts w:cs="Tahoma"/>
          <w:lang w:val="mk-MK"/>
        </w:rPr>
        <w:t>-</w:t>
      </w:r>
      <w:r w:rsidR="006D7435" w:rsidRPr="00B63768">
        <w:rPr>
          <w:rFonts w:cs="Tahoma"/>
          <w:lang w:val="mk-MK"/>
        </w:rPr>
        <w:t xml:space="preserve">приходите од провизии, </w:t>
      </w:r>
      <w:r w:rsidR="00E800DC" w:rsidRPr="00B63768">
        <w:rPr>
          <w:rFonts w:cs="Tahoma"/>
          <w:lang w:val="mk-MK"/>
        </w:rPr>
        <w:t xml:space="preserve">заедно со </w:t>
      </w:r>
      <w:r w:rsidR="00FC5FB1" w:rsidRPr="00B63768">
        <w:rPr>
          <w:rFonts w:cs="Tahoma"/>
          <w:lang w:val="mk-MK"/>
        </w:rPr>
        <w:t xml:space="preserve">забавениот раст </w:t>
      </w:r>
      <w:r w:rsidR="006D7435" w:rsidRPr="00B63768">
        <w:rPr>
          <w:rFonts w:cs="Tahoma"/>
          <w:lang w:val="mk-MK"/>
        </w:rPr>
        <w:t>на оперативните трошоци</w:t>
      </w:r>
      <w:r w:rsidR="00E800DC" w:rsidRPr="00B63768">
        <w:rPr>
          <w:rFonts w:cs="Tahoma"/>
          <w:lang w:val="mk-MK"/>
        </w:rPr>
        <w:t xml:space="preserve">, ги </w:t>
      </w:r>
      <w:r w:rsidR="006D7435" w:rsidRPr="00B63768">
        <w:rPr>
          <w:rFonts w:cs="Tahoma"/>
          <w:lang w:val="mk-MK"/>
        </w:rPr>
        <w:t>ублаж</w:t>
      </w:r>
      <w:r w:rsidR="00E800DC" w:rsidRPr="00B63768">
        <w:rPr>
          <w:rFonts w:cs="Tahoma"/>
          <w:lang w:val="mk-MK"/>
        </w:rPr>
        <w:t xml:space="preserve">и последиците </w:t>
      </w:r>
      <w:r w:rsidR="0006163C" w:rsidRPr="00B63768">
        <w:rPr>
          <w:rFonts w:cs="Tahoma"/>
          <w:lang w:val="mk-MK"/>
        </w:rPr>
        <w:t xml:space="preserve">од </w:t>
      </w:r>
      <w:r w:rsidR="006D7435" w:rsidRPr="00B63768">
        <w:rPr>
          <w:rFonts w:cs="Tahoma"/>
          <w:lang w:val="mk-MK"/>
        </w:rPr>
        <w:t>влош</w:t>
      </w:r>
      <w:r w:rsidR="00E800DC" w:rsidRPr="00B63768">
        <w:rPr>
          <w:rFonts w:cs="Tahoma"/>
          <w:lang w:val="mk-MK"/>
        </w:rPr>
        <w:t>увањето на квалитетот на</w:t>
      </w:r>
      <w:r w:rsidR="006D7435" w:rsidRPr="00B63768">
        <w:rPr>
          <w:rFonts w:cs="Tahoma"/>
          <w:lang w:val="mk-MK"/>
        </w:rPr>
        <w:t xml:space="preserve"> кредитно</w:t>
      </w:r>
      <w:r w:rsidR="00E800DC" w:rsidRPr="00B63768">
        <w:rPr>
          <w:rFonts w:cs="Tahoma"/>
          <w:lang w:val="mk-MK"/>
        </w:rPr>
        <w:t>то</w:t>
      </w:r>
      <w:r w:rsidR="006D7435" w:rsidRPr="00B63768">
        <w:rPr>
          <w:rFonts w:cs="Tahoma"/>
          <w:lang w:val="mk-MK"/>
        </w:rPr>
        <w:t xml:space="preserve"> портфолио</w:t>
      </w:r>
      <w:r w:rsidR="00E800DC" w:rsidRPr="00B63768">
        <w:rPr>
          <w:rFonts w:cs="Tahoma"/>
          <w:lang w:val="mk-MK"/>
        </w:rPr>
        <w:t xml:space="preserve"> и недоволната активност на банките за продажба на преземениот имот врз основа на ненаплатени побарувања</w:t>
      </w:r>
      <w:r w:rsidR="006D7435" w:rsidRPr="00B63768">
        <w:rPr>
          <w:rFonts w:cs="Tahoma"/>
          <w:lang w:val="mk-MK"/>
        </w:rPr>
        <w:t xml:space="preserve">. </w:t>
      </w:r>
    </w:p>
    <w:p w:rsidR="0099778D" w:rsidRPr="00B63768" w:rsidRDefault="0099778D" w:rsidP="009C131C">
      <w:pPr>
        <w:ind w:left="-4536" w:firstLine="708"/>
        <w:rPr>
          <w:rFonts w:cs="Tahoma"/>
          <w:lang w:val="mk-MK"/>
        </w:rPr>
      </w:pPr>
    </w:p>
    <w:p w:rsidR="00F041E7" w:rsidRPr="00B63768" w:rsidRDefault="00F041E7" w:rsidP="003257F9">
      <w:pPr>
        <w:ind w:left="-4140"/>
        <w:jc w:val="left"/>
        <w:rPr>
          <w:rFonts w:cs="Tahoma"/>
          <w:b/>
          <w:lang w:val="mk-MK"/>
        </w:rPr>
      </w:pPr>
      <w:r w:rsidRPr="00B63768">
        <w:rPr>
          <w:rFonts w:cs="Tahoma"/>
          <w:lang w:val="mk-MK"/>
        </w:rPr>
        <w:br w:type="page"/>
      </w:r>
    </w:p>
    <w:p w:rsidR="00C40A00" w:rsidRPr="00B63768" w:rsidRDefault="002F7E25" w:rsidP="008E6D94">
      <w:pPr>
        <w:pStyle w:val="Heading1"/>
      </w:pPr>
      <w:bookmarkStart w:id="2" w:name="_Toc362007047"/>
      <w:r w:rsidRPr="00B63768">
        <w:lastRenderedPageBreak/>
        <w:t>Структура на банкарскиот систем</w:t>
      </w:r>
      <w:bookmarkEnd w:id="2"/>
    </w:p>
    <w:p w:rsidR="002F7E25" w:rsidRPr="00B63768" w:rsidRDefault="002F7E25" w:rsidP="00620347">
      <w:pPr>
        <w:rPr>
          <w:rFonts w:cs="Tahoma"/>
          <w:lang w:val="mk-MK"/>
        </w:rPr>
      </w:pPr>
    </w:p>
    <w:p w:rsidR="002F7E25" w:rsidRPr="00B63768" w:rsidRDefault="002F7E25" w:rsidP="003B2315">
      <w:pPr>
        <w:pStyle w:val="Heading2"/>
      </w:pPr>
      <w:bookmarkStart w:id="3" w:name="_Toc362007048"/>
      <w:r w:rsidRPr="00B63768">
        <w:t>Број на банки и сопственичка структура на банкарскиот систем</w:t>
      </w:r>
      <w:bookmarkEnd w:id="3"/>
    </w:p>
    <w:p w:rsidR="007C3727" w:rsidRPr="00B63768" w:rsidRDefault="007C3727" w:rsidP="00A57417">
      <w:pPr>
        <w:rPr>
          <w:lang w:val="mk-MK"/>
        </w:rPr>
      </w:pPr>
    </w:p>
    <w:p w:rsidR="00C515A4" w:rsidRPr="00B63768" w:rsidRDefault="00C515A4" w:rsidP="00C515A4">
      <w:pPr>
        <w:ind w:left="-4500" w:firstLine="720"/>
        <w:rPr>
          <w:rFonts w:cs="Tahoma"/>
          <w:lang w:val="mk-MK"/>
        </w:rPr>
      </w:pPr>
      <w:r w:rsidRPr="00B63768">
        <w:rPr>
          <w:rFonts w:cs="Tahoma"/>
          <w:b/>
          <w:lang w:val="mk-MK"/>
        </w:rPr>
        <w:t xml:space="preserve">Во првиот квартал од 2013 година, бројот на банките, како и поважните структурни карактеристики на банкарскиот систем не се променија. </w:t>
      </w:r>
      <w:r w:rsidRPr="00B63768">
        <w:rPr>
          <w:rFonts w:cs="Tahoma"/>
          <w:lang w:val="mk-MK"/>
        </w:rPr>
        <w:t>На 31.3.2013 година, банкарскиот систем во Република Македонија го сочинуваат шеснаесет</w:t>
      </w:r>
      <w:r w:rsidR="00D22DB7" w:rsidRPr="00B63768">
        <w:rPr>
          <w:rFonts w:cs="Tahoma"/>
          <w:lang w:val="mk-MK"/>
        </w:rPr>
        <w:t xml:space="preserve"> </w:t>
      </w:r>
      <w:r w:rsidRPr="00B63768">
        <w:rPr>
          <w:rFonts w:cs="Tahoma"/>
          <w:lang w:val="mk-MK"/>
        </w:rPr>
        <w:t xml:space="preserve">банки, од кои </w:t>
      </w:r>
      <w:r w:rsidR="00BF4C8D">
        <w:rPr>
          <w:rFonts w:cs="Tahoma"/>
          <w:lang w:val="mk-MK"/>
        </w:rPr>
        <w:t>два</w:t>
      </w:r>
      <w:r w:rsidRPr="00B63768">
        <w:rPr>
          <w:rFonts w:cs="Tahoma"/>
          <w:lang w:val="mk-MK"/>
        </w:rPr>
        <w:t xml:space="preserve">наесет се во доминантна странска сопственост. Оваа состојба е непроменета во споредба со 31.12.2012 година. Банките коишто се во доминантна странска сопственост ја задржаа </w:t>
      </w:r>
      <w:r w:rsidR="001E4660">
        <w:rPr>
          <w:rFonts w:cs="Tahoma"/>
          <w:lang w:val="mk-MK"/>
        </w:rPr>
        <w:t>главната</w:t>
      </w:r>
      <w:r w:rsidR="001E4660" w:rsidRPr="00B63768">
        <w:rPr>
          <w:rFonts w:cs="Tahoma"/>
          <w:lang w:val="mk-MK"/>
        </w:rPr>
        <w:t xml:space="preserve"> </w:t>
      </w:r>
      <w:r w:rsidRPr="00B63768">
        <w:rPr>
          <w:rFonts w:cs="Tahoma"/>
          <w:lang w:val="mk-MK"/>
        </w:rPr>
        <w:t xml:space="preserve">улога во поважните билансни позиции на банкарскиот систем.   </w:t>
      </w:r>
    </w:p>
    <w:p w:rsidR="00C515A4" w:rsidRPr="00B63768" w:rsidRDefault="00040D2C" w:rsidP="00C515A4">
      <w:pPr>
        <w:ind w:firstLine="720"/>
        <w:rPr>
          <w:lang w:val="mk-MK"/>
        </w:rPr>
      </w:pPr>
      <w:r w:rsidRPr="00040D2C">
        <w:rPr>
          <w:rFonts w:cs="Tahoma"/>
          <w:lang w:val="mk-MK"/>
        </w:rPr>
        <w:pict>
          <v:shapetype id="_x0000_t202" coordsize="21600,21600" o:spt="202" path="m,l,21600r21600,l21600,xe">
            <v:stroke joinstyle="miter"/>
            <v:path gradientshapeok="t" o:connecttype="rect"/>
          </v:shapetype>
          <v:shape id="_x0000_s1026" type="#_x0000_t202" style="position:absolute;left:0;text-align:left;margin-left:-226.55pt;margin-top:143.05pt;width:211.85pt;height:192.35pt;z-index:251660288;mso-position-horizontal-relative:margin;mso-position-vertical-relative:margin" strokecolor="black [3213]">
            <v:textbox style="mso-next-textbox:#_x0000_s1026">
              <w:txbxContent>
                <w:p w:rsidR="006F63B5" w:rsidRPr="002461BE" w:rsidRDefault="006F63B5" w:rsidP="00C515A4">
                  <w:pPr>
                    <w:pStyle w:val="Caption"/>
                    <w:rPr>
                      <w:rFonts w:cs="Tahoma"/>
                      <w:lang w:val="mk-MK"/>
                    </w:rPr>
                  </w:pPr>
                  <w:r>
                    <w:t xml:space="preserve">Графикон бр. </w:t>
                  </w:r>
                  <w:fldSimple w:instr=" SEQ Графикон_бр. \* ARABIC ">
                    <w:r>
                      <w:rPr>
                        <w:noProof/>
                      </w:rPr>
                      <w:t>1</w:t>
                    </w:r>
                  </w:fldSimple>
                  <w:r>
                    <w:rPr>
                      <w:lang w:val="mk-MK"/>
                    </w:rPr>
                    <w:t xml:space="preserve"> Пазарно учество (актива) на банките според земјата на потекло на доминантниот акционер</w:t>
                  </w:r>
                  <w:r w:rsidRPr="00002B70">
                    <w:rPr>
                      <w:b w:val="0"/>
                      <w:lang w:val="mk-MK"/>
                    </w:rPr>
                    <w:t xml:space="preserve"> </w:t>
                  </w:r>
                  <w:r w:rsidRPr="002B4044">
                    <w:rPr>
                      <w:noProof/>
                    </w:rPr>
                    <w:drawing>
                      <wp:inline distT="0" distB="0" distL="0" distR="0">
                        <wp:extent cx="2467753" cy="1447138"/>
                        <wp:effectExtent l="19050" t="0" r="8747"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471420" cy="1449289"/>
                                </a:xfrm>
                                <a:prstGeom prst="rect">
                                  <a:avLst/>
                                </a:prstGeom>
                                <a:noFill/>
                                <a:ln w="9525">
                                  <a:noFill/>
                                  <a:miter lim="800000"/>
                                  <a:headEnd/>
                                  <a:tailEnd/>
                                </a:ln>
                              </pic:spPr>
                            </pic:pic>
                          </a:graphicData>
                        </a:graphic>
                      </wp:inline>
                    </w:drawing>
                  </w:r>
                </w:p>
                <w:p w:rsidR="006F63B5" w:rsidRPr="00A72927" w:rsidRDefault="006F63B5" w:rsidP="00C515A4">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C515A4">
                  <w:pPr>
                    <w:rPr>
                      <w:lang w:val="mk-MK"/>
                    </w:rPr>
                  </w:pPr>
                </w:p>
                <w:p w:rsidR="006F63B5" w:rsidRPr="00303B89" w:rsidRDefault="006F63B5" w:rsidP="00C515A4">
                  <w:pPr>
                    <w:rPr>
                      <w:lang w:val="mk-MK"/>
                    </w:rPr>
                  </w:pPr>
                </w:p>
                <w:p w:rsidR="006F63B5" w:rsidRPr="00303B89" w:rsidRDefault="006F63B5" w:rsidP="00C515A4">
                  <w:pPr>
                    <w:rPr>
                      <w:lang w:val="mk-MK"/>
                    </w:rPr>
                  </w:pPr>
                </w:p>
                <w:p w:rsidR="006F63B5" w:rsidRDefault="006F63B5" w:rsidP="00C515A4">
                  <w:pPr>
                    <w:pStyle w:val="Caption"/>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Pr="008476D5" w:rsidRDefault="006F63B5" w:rsidP="00C515A4">
                  <w:pPr>
                    <w:rPr>
                      <w:sz w:val="20"/>
                      <w:szCs w:val="20"/>
                      <w:lang w:val="mk-MK"/>
                    </w:rPr>
                  </w:pPr>
                  <w:r w:rsidRPr="008476D5">
                    <w:rPr>
                      <w:sz w:val="20"/>
                      <w:szCs w:val="20"/>
                      <w:lang w:val="mk-MK"/>
                    </w:rPr>
                    <w:t>Извор:</w:t>
                  </w:r>
                </w:p>
              </w:txbxContent>
            </v:textbox>
            <w10:wrap type="square" anchorx="margin" anchory="margin"/>
          </v:shape>
        </w:pict>
      </w:r>
    </w:p>
    <w:p w:rsidR="00C515A4" w:rsidRPr="00B63768" w:rsidRDefault="00C515A4" w:rsidP="00C515A4">
      <w:pPr>
        <w:ind w:firstLine="709"/>
        <w:rPr>
          <w:rFonts w:cs="Tahoma"/>
          <w:b/>
          <w:lang w:val="mk-MK"/>
        </w:rPr>
      </w:pPr>
      <w:r w:rsidRPr="00B63768">
        <w:rPr>
          <w:rFonts w:cs="Tahoma"/>
          <w:b/>
          <w:lang w:val="mk-MK"/>
        </w:rPr>
        <w:t>Банките коишто се во доминантна сопственост на акционери од Грција и Словенија, како и банките во доминантна сопственост на странските портфолио-инвеститори</w:t>
      </w:r>
      <w:r w:rsidR="00E56409" w:rsidRPr="00B63768">
        <w:rPr>
          <w:rStyle w:val="FootnoteReference"/>
          <w:rFonts w:cs="Tahoma"/>
          <w:lang w:val="mk-MK"/>
        </w:rPr>
        <w:footnoteReference w:id="1"/>
      </w:r>
      <w:r w:rsidRPr="00B63768">
        <w:rPr>
          <w:rFonts w:cs="Tahoma"/>
          <w:b/>
          <w:lang w:val="mk-MK"/>
        </w:rPr>
        <w:t xml:space="preserve"> имаат</w:t>
      </w:r>
      <w:r w:rsidRPr="00B63768">
        <w:rPr>
          <w:rFonts w:cs="Tahoma"/>
          <w:lang w:val="mk-MK"/>
        </w:rPr>
        <w:t xml:space="preserve"> </w:t>
      </w:r>
      <w:r w:rsidRPr="00B63768">
        <w:rPr>
          <w:rFonts w:cs="Tahoma"/>
          <w:b/>
          <w:lang w:val="mk-MK"/>
        </w:rPr>
        <w:t xml:space="preserve">најголемо пазарно учество во вкупната актива на банкарскиот систем. </w:t>
      </w:r>
      <w:r w:rsidRPr="00B63768">
        <w:rPr>
          <w:rFonts w:cs="Tahoma"/>
          <w:lang w:val="mk-MK"/>
        </w:rPr>
        <w:t>Нивното учество изнесува 22,8%, 16,6% и 23,6%, соодветно.  Пазарното учество на банките во доминантна сопственост на домашните акционери изнесува 8,0%</w:t>
      </w:r>
      <w:r w:rsidRPr="00B63768">
        <w:rPr>
          <w:rStyle w:val="FootnoteReference"/>
          <w:rFonts w:cs="Tahoma"/>
          <w:lang w:val="mk-MK"/>
        </w:rPr>
        <w:footnoteReference w:id="2"/>
      </w:r>
      <w:r w:rsidRPr="00B63768">
        <w:rPr>
          <w:rFonts w:cs="Tahoma"/>
          <w:lang w:val="mk-MK"/>
        </w:rPr>
        <w:t xml:space="preserve">.      </w:t>
      </w:r>
    </w:p>
    <w:p w:rsidR="00C515A4" w:rsidRPr="00B63768" w:rsidRDefault="00C515A4" w:rsidP="00C515A4">
      <w:pPr>
        <w:rPr>
          <w:rFonts w:cs="Tahoma"/>
          <w:lang w:val="mk-MK"/>
        </w:rPr>
      </w:pPr>
    </w:p>
    <w:p w:rsidR="00C515A4" w:rsidRPr="00B63768" w:rsidRDefault="00C515A4" w:rsidP="00C515A4">
      <w:pPr>
        <w:ind w:firstLine="720"/>
        <w:rPr>
          <w:lang w:val="mk-MK"/>
        </w:rPr>
      </w:pPr>
    </w:p>
    <w:p w:rsidR="00C515A4" w:rsidRPr="00B63768" w:rsidRDefault="00C515A4" w:rsidP="00C515A4">
      <w:pPr>
        <w:ind w:firstLine="720"/>
        <w:rPr>
          <w:lang w:val="mk-MK"/>
        </w:rPr>
      </w:pPr>
    </w:p>
    <w:p w:rsidR="00C515A4" w:rsidRPr="00B63768" w:rsidRDefault="00C515A4" w:rsidP="00C515A4">
      <w:pPr>
        <w:ind w:firstLine="720"/>
        <w:rPr>
          <w:lang w:val="mk-MK"/>
        </w:rPr>
      </w:pPr>
    </w:p>
    <w:p w:rsidR="00C515A4" w:rsidRPr="00B63768" w:rsidRDefault="00040D2C" w:rsidP="00C515A4">
      <w:pPr>
        <w:rPr>
          <w:lang w:val="mk-MK"/>
        </w:rPr>
      </w:pPr>
      <w:r w:rsidRPr="00040D2C">
        <w:rPr>
          <w:rFonts w:cs="Tahoma"/>
          <w:b/>
          <w:lang w:val="mk-MK"/>
        </w:rPr>
        <w:pict>
          <v:shape id="_x0000_s1027" type="#_x0000_t202" style="position:absolute;left:0;text-align:left;margin-left:-226.55pt;margin-top:3pt;width:211.85pt;height:177.35pt;z-index:251661312" strokecolor="black [3213]">
            <v:textbox style="mso-next-textbox:#_x0000_s1027">
              <w:txbxContent>
                <w:p w:rsidR="006F63B5" w:rsidRPr="008545CA" w:rsidRDefault="006F63B5" w:rsidP="00C515A4">
                  <w:pPr>
                    <w:pStyle w:val="Caption"/>
                    <w:rPr>
                      <w:rFonts w:cs="Tahoma"/>
                      <w:lang w:val="mk-MK"/>
                    </w:rPr>
                  </w:pPr>
                  <w:r>
                    <w:t xml:space="preserve">Графикон бр. </w:t>
                  </w:r>
                  <w:fldSimple w:instr=" SEQ Графикон_бр. \* ARABIC ">
                    <w:r>
                      <w:rPr>
                        <w:noProof/>
                      </w:rPr>
                      <w:t>2</w:t>
                    </w:r>
                  </w:fldSimple>
                  <w:r>
                    <w:rPr>
                      <w:lang w:val="mk-MK"/>
                    </w:rPr>
                    <w:t xml:space="preserve"> Пазарно учество на подружниците на странски банки</w:t>
                  </w:r>
                </w:p>
                <w:p w:rsidR="006F63B5" w:rsidRPr="00A72927" w:rsidRDefault="006F63B5" w:rsidP="00C515A4">
                  <w:pPr>
                    <w:pStyle w:val="Caption"/>
                    <w:rPr>
                      <w:b w:val="0"/>
                      <w:sz w:val="18"/>
                      <w:szCs w:val="18"/>
                      <w:lang w:val="mk-MK"/>
                    </w:rPr>
                  </w:pPr>
                  <w:r w:rsidRPr="00747D65">
                    <w:rPr>
                      <w:noProof/>
                      <w:szCs w:val="18"/>
                    </w:rPr>
                    <w:drawing>
                      <wp:inline distT="0" distB="0" distL="0" distR="0">
                        <wp:extent cx="2465729" cy="157000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466318" cy="1570382"/>
                                </a:xfrm>
                                <a:prstGeom prst="rect">
                                  <a:avLst/>
                                </a:prstGeom>
                                <a:noFill/>
                                <a:ln w="9525">
                                  <a:noFill/>
                                  <a:miter lim="800000"/>
                                  <a:headEnd/>
                                  <a:tailEnd/>
                                </a:ln>
                              </pic:spPr>
                            </pic:pic>
                          </a:graphicData>
                        </a:graphic>
                      </wp:inline>
                    </w:drawing>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C515A4">
                  <w:pPr>
                    <w:rPr>
                      <w:lang w:val="mk-MK"/>
                    </w:rPr>
                  </w:pPr>
                </w:p>
                <w:p w:rsidR="006F63B5" w:rsidRPr="00303B89" w:rsidRDefault="006F63B5" w:rsidP="00C515A4">
                  <w:pPr>
                    <w:rPr>
                      <w:lang w:val="mk-MK"/>
                    </w:rPr>
                  </w:pPr>
                </w:p>
                <w:p w:rsidR="006F63B5" w:rsidRPr="00303B89" w:rsidRDefault="006F63B5" w:rsidP="00C515A4">
                  <w:pPr>
                    <w:rPr>
                      <w:lang w:val="mk-MK"/>
                    </w:rPr>
                  </w:pPr>
                </w:p>
                <w:p w:rsidR="006F63B5" w:rsidRDefault="006F63B5" w:rsidP="00C515A4">
                  <w:pPr>
                    <w:pStyle w:val="Caption"/>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Pr="008476D5" w:rsidRDefault="006F63B5" w:rsidP="00C515A4">
                  <w:pPr>
                    <w:rPr>
                      <w:sz w:val="20"/>
                      <w:szCs w:val="20"/>
                      <w:lang w:val="mk-MK"/>
                    </w:rPr>
                  </w:pPr>
                  <w:r w:rsidRPr="008476D5">
                    <w:rPr>
                      <w:sz w:val="20"/>
                      <w:szCs w:val="20"/>
                      <w:lang w:val="mk-MK"/>
                    </w:rPr>
                    <w:t>Извор:</w:t>
                  </w:r>
                </w:p>
              </w:txbxContent>
            </v:textbox>
            <w10:wrap type="square"/>
          </v:shape>
        </w:pict>
      </w:r>
    </w:p>
    <w:p w:rsidR="00C515A4" w:rsidRPr="00B63768" w:rsidRDefault="00C515A4" w:rsidP="00C515A4">
      <w:pPr>
        <w:ind w:firstLine="720"/>
        <w:rPr>
          <w:rFonts w:cs="Tahoma"/>
          <w:lang w:val="mk-MK"/>
        </w:rPr>
      </w:pPr>
      <w:r w:rsidRPr="00B63768">
        <w:rPr>
          <w:rFonts w:cs="Tahoma"/>
          <w:lang w:val="mk-MK"/>
        </w:rPr>
        <w:t>Бројот на подружниците на странски банки, исто така</w:t>
      </w:r>
      <w:r w:rsidR="00362623">
        <w:rPr>
          <w:rFonts w:cs="Tahoma"/>
          <w:lang w:val="mk-MK"/>
        </w:rPr>
        <w:t>,</w:t>
      </w:r>
      <w:r w:rsidRPr="00B63768">
        <w:rPr>
          <w:rFonts w:cs="Tahoma"/>
          <w:lang w:val="mk-MK"/>
        </w:rPr>
        <w:t xml:space="preserve"> остана ист и во првиот квартал од 2013 година, а нивното пазарно учество незначително се намали, за 0,3 процентни поени. </w:t>
      </w:r>
    </w:p>
    <w:p w:rsidR="00C515A4" w:rsidRPr="00B63768" w:rsidRDefault="00C515A4" w:rsidP="00C515A4">
      <w:pPr>
        <w:ind w:firstLine="720"/>
        <w:rPr>
          <w:lang w:val="mk-MK"/>
        </w:rPr>
      </w:pPr>
    </w:p>
    <w:p w:rsidR="00A57417" w:rsidRPr="00B63768" w:rsidRDefault="00A57417" w:rsidP="00A57417">
      <w:pPr>
        <w:rPr>
          <w:lang w:val="mk-MK"/>
        </w:rPr>
      </w:pPr>
    </w:p>
    <w:p w:rsidR="00C515A4" w:rsidRPr="00B63768" w:rsidRDefault="00C515A4" w:rsidP="00A57417">
      <w:pPr>
        <w:rPr>
          <w:lang w:val="mk-MK"/>
        </w:rPr>
      </w:pPr>
    </w:p>
    <w:p w:rsidR="00C515A4" w:rsidRPr="00B63768" w:rsidRDefault="00C515A4" w:rsidP="00A57417">
      <w:pPr>
        <w:rPr>
          <w:lang w:val="mk-MK"/>
        </w:rPr>
      </w:pPr>
    </w:p>
    <w:p w:rsidR="00E56409" w:rsidRPr="00B63768" w:rsidRDefault="00E56409" w:rsidP="00A57417">
      <w:pPr>
        <w:rPr>
          <w:lang w:val="mk-MK"/>
        </w:rPr>
      </w:pPr>
    </w:p>
    <w:p w:rsidR="00C515A4" w:rsidRPr="00B63768" w:rsidRDefault="00C515A4" w:rsidP="00A57417">
      <w:pPr>
        <w:rPr>
          <w:lang w:val="mk-MK"/>
        </w:rPr>
      </w:pPr>
    </w:p>
    <w:p w:rsidR="00C515A4" w:rsidRPr="00B63768" w:rsidRDefault="00C515A4" w:rsidP="00A57417">
      <w:pPr>
        <w:rPr>
          <w:lang w:val="mk-MK"/>
        </w:rPr>
      </w:pPr>
    </w:p>
    <w:p w:rsidR="00A57417" w:rsidRPr="00B63768" w:rsidRDefault="00A57417" w:rsidP="00A57417">
      <w:pPr>
        <w:rPr>
          <w:lang w:val="mk-MK"/>
        </w:rPr>
      </w:pPr>
    </w:p>
    <w:p w:rsidR="000C7054" w:rsidRPr="00B63768" w:rsidRDefault="000C7054" w:rsidP="00A57417">
      <w:pPr>
        <w:rPr>
          <w:lang w:val="mk-MK"/>
        </w:rPr>
      </w:pPr>
    </w:p>
    <w:p w:rsidR="00C515A4" w:rsidRPr="00B63768" w:rsidRDefault="00C515A4" w:rsidP="00A57417">
      <w:pPr>
        <w:rPr>
          <w:lang w:val="mk-MK"/>
        </w:rPr>
      </w:pPr>
    </w:p>
    <w:p w:rsidR="007C3727" w:rsidRPr="00B63768" w:rsidRDefault="007C3727" w:rsidP="003B2315">
      <w:pPr>
        <w:pStyle w:val="Heading2"/>
      </w:pPr>
      <w:bookmarkStart w:id="4" w:name="_Toc362007049"/>
      <w:r w:rsidRPr="00B63768">
        <w:lastRenderedPageBreak/>
        <w:t>Концентрација и пазарно учество на банките</w:t>
      </w:r>
      <w:bookmarkEnd w:id="4"/>
    </w:p>
    <w:p w:rsidR="007C3727" w:rsidRPr="00B63768" w:rsidRDefault="007C3727" w:rsidP="00A57417">
      <w:pPr>
        <w:rPr>
          <w:lang w:val="mk-MK"/>
        </w:rPr>
      </w:pPr>
    </w:p>
    <w:p w:rsidR="00C515A4" w:rsidRPr="00B63768" w:rsidRDefault="00040D2C" w:rsidP="00C515A4">
      <w:pPr>
        <w:ind w:firstLine="720"/>
        <w:rPr>
          <w:rFonts w:cs="Tahoma"/>
          <w:b/>
          <w:lang w:val="mk-MK"/>
        </w:rPr>
      </w:pPr>
      <w:r w:rsidRPr="00040D2C">
        <w:rPr>
          <w:rFonts w:cs="Tahoma"/>
          <w:b/>
          <w:lang w:val="mk-MK"/>
        </w:rPr>
        <w:pict>
          <v:shape id="_x0000_s1028" type="#_x0000_t202" style="position:absolute;left:0;text-align:left;margin-left:-224.95pt;margin-top:-8.45pt;width:202.75pt;height:275.05pt;z-index:251663360" strokecolor="black [3213]">
            <v:textbox style="mso-next-textbox:#_x0000_s1028">
              <w:txbxContent>
                <w:p w:rsidR="006F63B5" w:rsidRPr="00D6358A" w:rsidRDefault="006F63B5" w:rsidP="00C515A4">
                  <w:pPr>
                    <w:pStyle w:val="Caption"/>
                    <w:rPr>
                      <w:rFonts w:cs="Tahoma"/>
                    </w:rPr>
                  </w:pPr>
                  <w:r>
                    <w:t xml:space="preserve">Графикон бр. </w:t>
                  </w:r>
                  <w:fldSimple w:instr=" SEQ Графикон_бр. \* ARABIC ">
                    <w:r>
                      <w:rPr>
                        <w:noProof/>
                      </w:rPr>
                      <w:t>3</w:t>
                    </w:r>
                  </w:fldSimple>
                  <w:r>
                    <w:rPr>
                      <w:lang w:val="mk-MK"/>
                    </w:rPr>
                    <w:t xml:space="preserve"> Херфиндалов индекс (горе) и показател ЦР5 (долу)</w:t>
                  </w:r>
                </w:p>
                <w:p w:rsidR="006F63B5" w:rsidRDefault="006F63B5" w:rsidP="00C515A4">
                  <w:pPr>
                    <w:pStyle w:val="Caption"/>
                    <w:rPr>
                      <w:sz w:val="18"/>
                      <w:szCs w:val="18"/>
                      <w:lang w:val="mk-MK"/>
                    </w:rPr>
                  </w:pPr>
                  <w:r w:rsidRPr="008C625E">
                    <w:rPr>
                      <w:noProof/>
                      <w:szCs w:val="18"/>
                    </w:rPr>
                    <w:drawing>
                      <wp:inline distT="0" distB="0" distL="0" distR="0">
                        <wp:extent cx="2419644" cy="2679589"/>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423564" cy="2683930"/>
                                </a:xfrm>
                                <a:prstGeom prst="rect">
                                  <a:avLst/>
                                </a:prstGeom>
                                <a:noFill/>
                                <a:ln w="9525">
                                  <a:noFill/>
                                  <a:miter lim="800000"/>
                                  <a:headEnd/>
                                  <a:tailEnd/>
                                </a:ln>
                              </pic:spPr>
                            </pic:pic>
                          </a:graphicData>
                        </a:graphic>
                      </wp:inline>
                    </w:drawing>
                  </w:r>
                </w:p>
                <w:p w:rsidR="006F63B5" w:rsidRDefault="006F63B5" w:rsidP="00C515A4">
                  <w:pPr>
                    <w:pStyle w:val="Caption"/>
                    <w:rPr>
                      <w:szCs w:val="20"/>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txbxContent>
            </v:textbox>
            <w10:wrap type="square"/>
          </v:shape>
        </w:pict>
      </w:r>
      <w:r w:rsidR="00C515A4" w:rsidRPr="00B63768">
        <w:rPr>
          <w:rFonts w:cs="Tahoma"/>
          <w:b/>
          <w:lang w:val="mk-MK"/>
        </w:rPr>
        <w:t xml:space="preserve">Концентрацијата во банкарскиот систем е висока, меѓутоа се движи по надолна линија. </w:t>
      </w:r>
      <w:r w:rsidR="00C515A4" w:rsidRPr="00B63768">
        <w:rPr>
          <w:rFonts w:cs="Tahoma"/>
          <w:lang w:val="mk-MK"/>
        </w:rPr>
        <w:t>Кај сите сегменти од работењето на банките се забележува одредено намалување на концентрацијата мерена преку Херфиндаловиот индекс</w:t>
      </w:r>
      <w:r w:rsidR="00C515A4" w:rsidRPr="00B63768">
        <w:rPr>
          <w:rStyle w:val="FootnoteReference"/>
          <w:rFonts w:cs="Tahoma"/>
          <w:lang w:val="mk-MK"/>
        </w:rPr>
        <w:footnoteReference w:id="3"/>
      </w:r>
      <w:r w:rsidR="00C515A4" w:rsidRPr="00B63768">
        <w:rPr>
          <w:rFonts w:cs="Tahoma"/>
          <w:lang w:val="mk-MK"/>
        </w:rPr>
        <w:t xml:space="preserve"> и показателот</w:t>
      </w:r>
      <w:r w:rsidR="00FB17A9">
        <w:rPr>
          <w:rFonts w:cs="Tahoma"/>
          <w:lang w:val="mk-MK"/>
        </w:rPr>
        <w:t xml:space="preserve"> </w:t>
      </w:r>
      <w:r w:rsidR="00FB17A9" w:rsidRPr="00B63768">
        <w:rPr>
          <w:rFonts w:cs="Tahoma"/>
          <w:lang w:val="mk-MK"/>
        </w:rPr>
        <w:t>ЦР5</w:t>
      </w:r>
      <w:r w:rsidR="00C515A4" w:rsidRPr="00B63768">
        <w:rPr>
          <w:rStyle w:val="FootnoteReference"/>
          <w:rFonts w:cs="Tahoma"/>
          <w:lang w:val="mk-MK"/>
        </w:rPr>
        <w:footnoteReference w:id="4"/>
      </w:r>
      <w:r w:rsidR="00C515A4" w:rsidRPr="00B63768">
        <w:rPr>
          <w:rFonts w:cs="Tahoma"/>
          <w:lang w:val="mk-MK"/>
        </w:rPr>
        <w:t>. Освен кај кредитите и депозитите на населението, кај сите останати категории концентрацијата според Херфиндаловиот индекс е во рамките на прифатливото ниво</w:t>
      </w:r>
      <w:r w:rsidR="00C515A4" w:rsidRPr="00B63768">
        <w:rPr>
          <w:rStyle w:val="FootnoteReference"/>
          <w:rFonts w:cs="Tahoma"/>
          <w:lang w:val="mk-MK"/>
        </w:rPr>
        <w:footnoteReference w:id="5"/>
      </w:r>
      <w:r w:rsidR="00C515A4" w:rsidRPr="00B63768">
        <w:rPr>
          <w:rFonts w:cs="Tahoma"/>
          <w:lang w:val="mk-MK"/>
        </w:rPr>
        <w:t xml:space="preserve">. </w:t>
      </w:r>
    </w:p>
    <w:p w:rsidR="00C515A4" w:rsidRPr="00B63768" w:rsidRDefault="00C515A4" w:rsidP="00C515A4">
      <w:pPr>
        <w:ind w:firstLine="720"/>
        <w:rPr>
          <w:rFonts w:cs="Tahoma"/>
          <w:lang w:val="mk-MK"/>
        </w:rPr>
      </w:pPr>
      <w:r w:rsidRPr="00B63768">
        <w:rPr>
          <w:rFonts w:cs="Tahoma"/>
          <w:lang w:val="mk-MK"/>
        </w:rPr>
        <w:t xml:space="preserve">  </w:t>
      </w:r>
    </w:p>
    <w:p w:rsidR="00C515A4" w:rsidRPr="00B63768" w:rsidRDefault="00C515A4" w:rsidP="00C515A4">
      <w:pPr>
        <w:ind w:firstLine="720"/>
        <w:rPr>
          <w:rFonts w:cs="Tahoma"/>
          <w:lang w:val="mk-MK"/>
        </w:rPr>
      </w:pPr>
    </w:p>
    <w:p w:rsidR="00C515A4" w:rsidRPr="00B63768" w:rsidRDefault="00C515A4" w:rsidP="00C515A4">
      <w:pPr>
        <w:ind w:firstLine="720"/>
        <w:rPr>
          <w:rFonts w:cs="Tahoma"/>
          <w:lang w:val="mk-MK"/>
        </w:rPr>
      </w:pPr>
    </w:p>
    <w:p w:rsidR="00C515A4" w:rsidRPr="00B63768" w:rsidRDefault="00C515A4" w:rsidP="00C515A4">
      <w:pPr>
        <w:ind w:firstLine="720"/>
        <w:rPr>
          <w:rFonts w:cs="Tahoma"/>
          <w:lang w:val="mk-MK"/>
        </w:rPr>
      </w:pPr>
    </w:p>
    <w:p w:rsidR="00C515A4" w:rsidRPr="00B63768" w:rsidRDefault="00C515A4" w:rsidP="00C515A4">
      <w:pPr>
        <w:ind w:firstLine="720"/>
        <w:rPr>
          <w:rFonts w:cs="Tahoma"/>
          <w:lang w:val="mk-MK"/>
        </w:rPr>
      </w:pPr>
    </w:p>
    <w:p w:rsidR="00C515A4" w:rsidRPr="00B63768" w:rsidRDefault="00C515A4" w:rsidP="00C515A4">
      <w:pPr>
        <w:ind w:firstLine="720"/>
        <w:rPr>
          <w:rFonts w:cs="Tahoma"/>
          <w:lang w:val="mk-MK"/>
        </w:rPr>
      </w:pPr>
    </w:p>
    <w:p w:rsidR="00C515A4" w:rsidRPr="00B63768" w:rsidRDefault="00C515A4" w:rsidP="00C515A4">
      <w:pPr>
        <w:rPr>
          <w:rFonts w:cs="Tahoma"/>
          <w:lang w:val="mk-MK"/>
        </w:rPr>
      </w:pPr>
    </w:p>
    <w:p w:rsidR="00C515A4" w:rsidRPr="00B63768" w:rsidRDefault="00040D2C" w:rsidP="00C515A4">
      <w:pPr>
        <w:rPr>
          <w:rFonts w:cs="Tahoma"/>
          <w:lang w:val="mk-MK"/>
        </w:rPr>
      </w:pPr>
      <w:r w:rsidRPr="00040D2C">
        <w:rPr>
          <w:rFonts w:cs="Tahoma"/>
          <w:b/>
          <w:lang w:val="mk-MK"/>
        </w:rPr>
        <w:pict>
          <v:shape id="_x0000_s1029" type="#_x0000_t202" style="position:absolute;left:0;text-align:left;margin-left:-224.95pt;margin-top:43.55pt;width:202.75pt;height:212.85pt;z-index:251664384" strokecolor="black [3213]">
            <v:textbox style="mso-next-textbox:#_x0000_s1029">
              <w:txbxContent>
                <w:p w:rsidR="006F63B5" w:rsidRDefault="006F63B5" w:rsidP="00C515A4">
                  <w:pPr>
                    <w:pStyle w:val="Caption"/>
                    <w:rPr>
                      <w:lang w:val="mk-MK"/>
                    </w:rPr>
                  </w:pPr>
                  <w:r>
                    <w:t xml:space="preserve">Графикон бр. </w:t>
                  </w:r>
                  <w:fldSimple w:instr=" SEQ Графикон_бр. \* ARABIC ">
                    <w:r>
                      <w:rPr>
                        <w:noProof/>
                      </w:rPr>
                      <w:t>4</w:t>
                    </w:r>
                  </w:fldSimple>
                  <w:r>
                    <w:rPr>
                      <w:lang w:val="mk-MK"/>
                    </w:rPr>
                    <w:t xml:space="preserve"> Пазарно учество на поединечните банки (актива)</w:t>
                  </w:r>
                </w:p>
                <w:p w:rsidR="006F63B5" w:rsidRPr="00D52B72" w:rsidRDefault="006F63B5" w:rsidP="00C515A4">
                  <w:pPr>
                    <w:rPr>
                      <w:lang w:val="mk-MK"/>
                    </w:rPr>
                  </w:pPr>
                  <w:r w:rsidRPr="00F70BDA">
                    <w:rPr>
                      <w:noProof/>
                    </w:rPr>
                    <w:drawing>
                      <wp:inline distT="0" distB="0" distL="0" distR="0">
                        <wp:extent cx="2463844" cy="158230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465227" cy="1583197"/>
                                </a:xfrm>
                                <a:prstGeom prst="rect">
                                  <a:avLst/>
                                </a:prstGeom>
                                <a:noFill/>
                                <a:ln w="9525">
                                  <a:noFill/>
                                  <a:miter lim="800000"/>
                                  <a:headEnd/>
                                  <a:tailEnd/>
                                </a:ln>
                              </pic:spPr>
                            </pic:pic>
                          </a:graphicData>
                        </a:graphic>
                      </wp:inline>
                    </w:drawing>
                  </w:r>
                </w:p>
                <w:p w:rsidR="006F63B5" w:rsidRDefault="006F63B5" w:rsidP="00C515A4">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Default="006F63B5" w:rsidP="00C515A4">
                  <w:pPr>
                    <w:pStyle w:val="Caption"/>
                    <w:rPr>
                      <w:b w:val="0"/>
                      <w:sz w:val="18"/>
                      <w:szCs w:val="18"/>
                      <w:lang w:val="mk-MK"/>
                    </w:rPr>
                  </w:pPr>
                  <w:r>
                    <w:rPr>
                      <w:b w:val="0"/>
                      <w:sz w:val="18"/>
                      <w:szCs w:val="18"/>
                      <w:lang w:val="mk-MK"/>
                    </w:rPr>
                    <w:t xml:space="preserve">Забелешка: Од 1.10.2012 година, една мала банка се присоедини кон една средна банка.  </w:t>
                  </w:r>
                </w:p>
                <w:p w:rsidR="006F63B5" w:rsidRPr="00303B89" w:rsidRDefault="006F63B5" w:rsidP="00C515A4">
                  <w:pPr>
                    <w:rPr>
                      <w:lang w:val="mk-MK"/>
                    </w:rPr>
                  </w:pPr>
                </w:p>
                <w:p w:rsidR="006F63B5" w:rsidRPr="00303B89" w:rsidRDefault="006F63B5" w:rsidP="00C515A4">
                  <w:pPr>
                    <w:rPr>
                      <w:lang w:val="mk-MK"/>
                    </w:rPr>
                  </w:pPr>
                </w:p>
                <w:p w:rsidR="006F63B5" w:rsidRPr="00303B89" w:rsidRDefault="006F63B5" w:rsidP="00C515A4">
                  <w:pPr>
                    <w:rPr>
                      <w:lang w:val="mk-MK"/>
                    </w:rPr>
                  </w:pPr>
                </w:p>
                <w:p w:rsidR="006F63B5" w:rsidRDefault="006F63B5" w:rsidP="00C515A4">
                  <w:pPr>
                    <w:pStyle w:val="Caption"/>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Default="006F63B5" w:rsidP="00C515A4">
                  <w:pPr>
                    <w:rPr>
                      <w:lang w:val="mk-MK"/>
                    </w:rPr>
                  </w:pPr>
                </w:p>
                <w:p w:rsidR="006F63B5" w:rsidRPr="008476D5" w:rsidRDefault="006F63B5" w:rsidP="00C515A4">
                  <w:pPr>
                    <w:rPr>
                      <w:sz w:val="20"/>
                      <w:szCs w:val="20"/>
                      <w:lang w:val="mk-MK"/>
                    </w:rPr>
                  </w:pPr>
                  <w:r w:rsidRPr="008476D5">
                    <w:rPr>
                      <w:sz w:val="20"/>
                      <w:szCs w:val="20"/>
                      <w:lang w:val="mk-MK"/>
                    </w:rPr>
                    <w:t>Извор:</w:t>
                  </w:r>
                </w:p>
              </w:txbxContent>
            </v:textbox>
            <w10:wrap type="square"/>
          </v:shape>
        </w:pict>
      </w:r>
      <w:r w:rsidR="00C515A4" w:rsidRPr="00B63768">
        <w:rPr>
          <w:rFonts w:cs="Tahoma"/>
          <w:lang w:val="mk-MK"/>
        </w:rPr>
        <w:tab/>
      </w:r>
    </w:p>
    <w:p w:rsidR="00C515A4" w:rsidRPr="00B63768" w:rsidRDefault="00C515A4" w:rsidP="00C515A4">
      <w:pPr>
        <w:rPr>
          <w:rFonts w:cs="Tahoma"/>
          <w:lang w:val="mk-MK"/>
        </w:rPr>
      </w:pPr>
    </w:p>
    <w:p w:rsidR="00C515A4" w:rsidRPr="00B63768" w:rsidRDefault="00C515A4" w:rsidP="00C515A4">
      <w:pPr>
        <w:rPr>
          <w:rFonts w:cs="Tahoma"/>
          <w:lang w:val="mk-MK"/>
        </w:rPr>
      </w:pPr>
    </w:p>
    <w:p w:rsidR="00C515A4" w:rsidRPr="00B63768" w:rsidRDefault="00C515A4" w:rsidP="00C515A4">
      <w:pPr>
        <w:rPr>
          <w:rFonts w:cs="Tahoma"/>
          <w:lang w:val="mk-MK"/>
        </w:rPr>
      </w:pPr>
    </w:p>
    <w:p w:rsidR="00C515A4" w:rsidRPr="00B63768" w:rsidRDefault="00C515A4" w:rsidP="00C515A4">
      <w:pPr>
        <w:ind w:firstLine="720"/>
        <w:rPr>
          <w:rFonts w:cs="Tahoma"/>
          <w:lang w:val="mk-MK"/>
        </w:rPr>
      </w:pPr>
      <w:r w:rsidRPr="00B63768">
        <w:rPr>
          <w:rFonts w:cs="Tahoma"/>
          <w:b/>
          <w:lang w:val="mk-MK"/>
        </w:rPr>
        <w:t>Пазарното учество на поединечните банки во вкупната банкарска актива ја потврдува концентрација</w:t>
      </w:r>
      <w:r w:rsidR="00BC2DB4" w:rsidRPr="00B63768">
        <w:rPr>
          <w:rFonts w:cs="Tahoma"/>
          <w:b/>
          <w:lang w:val="mk-MK"/>
        </w:rPr>
        <w:t>та</w:t>
      </w:r>
      <w:r w:rsidRPr="00B63768">
        <w:rPr>
          <w:rFonts w:cs="Tahoma"/>
          <w:b/>
          <w:lang w:val="mk-MK"/>
        </w:rPr>
        <w:t xml:space="preserve"> во банкарскиот систем.</w:t>
      </w:r>
      <w:r w:rsidRPr="00B63768">
        <w:rPr>
          <w:rFonts w:cs="Tahoma"/>
          <w:lang w:val="mk-MK"/>
        </w:rPr>
        <w:t xml:space="preserve"> Само три банки заедно зафаќаат две третини од вкупната актива, додека девет банки поединечно имаат учество помало од 4%, а заедно зафаќаат 16,9% од вкупната актива на банкарскиот систем. </w:t>
      </w:r>
    </w:p>
    <w:p w:rsidR="00C515A4" w:rsidRPr="00B63768" w:rsidRDefault="00C515A4" w:rsidP="00C515A4">
      <w:pPr>
        <w:rPr>
          <w:rFonts w:cs="Tahoma"/>
          <w:lang w:val="mk-MK"/>
        </w:rPr>
      </w:pPr>
    </w:p>
    <w:p w:rsidR="00C515A4" w:rsidRPr="00B63768" w:rsidRDefault="00C515A4" w:rsidP="00C515A4">
      <w:pPr>
        <w:rPr>
          <w:rFonts w:cs="Tahoma"/>
          <w:lang w:val="mk-MK"/>
        </w:rPr>
      </w:pPr>
    </w:p>
    <w:p w:rsidR="00C515A4" w:rsidRPr="00B63768" w:rsidRDefault="00C515A4" w:rsidP="00C515A4">
      <w:pPr>
        <w:rPr>
          <w:rFonts w:cs="Tahoma"/>
          <w:lang w:val="mk-MK"/>
        </w:rPr>
      </w:pPr>
    </w:p>
    <w:p w:rsidR="00C515A4" w:rsidRPr="00B63768" w:rsidRDefault="00C515A4" w:rsidP="00C515A4">
      <w:pPr>
        <w:rPr>
          <w:rFonts w:cs="Tahoma"/>
          <w:lang w:val="mk-MK"/>
        </w:rPr>
      </w:pPr>
    </w:p>
    <w:p w:rsidR="00C515A4" w:rsidRPr="00B63768" w:rsidRDefault="00D22DB7">
      <w:pPr>
        <w:rPr>
          <w:lang w:val="mk-MK"/>
        </w:rPr>
      </w:pPr>
      <w:r w:rsidRPr="00B63768">
        <w:rPr>
          <w:lang w:val="mk-MK"/>
        </w:rPr>
        <w:br w:type="page"/>
      </w:r>
    </w:p>
    <w:p w:rsidR="00C40A00" w:rsidRPr="00B63768" w:rsidRDefault="00F64103" w:rsidP="008E6D94">
      <w:pPr>
        <w:pStyle w:val="Heading1"/>
      </w:pPr>
      <w:r w:rsidRPr="00B63768">
        <w:lastRenderedPageBreak/>
        <w:t xml:space="preserve"> </w:t>
      </w:r>
      <w:bookmarkStart w:id="5" w:name="_Toc362007050"/>
      <w:r w:rsidR="001870F7" w:rsidRPr="00B63768">
        <w:t>Активности на банките</w:t>
      </w:r>
      <w:bookmarkEnd w:id="5"/>
    </w:p>
    <w:p w:rsidR="00E11010" w:rsidRPr="00B63768" w:rsidRDefault="00E11010" w:rsidP="00E11010">
      <w:pPr>
        <w:ind w:left="-4536" w:firstLine="936"/>
        <w:contextualSpacing/>
        <w:rPr>
          <w:rFonts w:cs="Tahoma"/>
          <w:b/>
          <w:lang w:val="mk-MK"/>
        </w:rPr>
      </w:pPr>
    </w:p>
    <w:p w:rsidR="004562C7" w:rsidRPr="00B63768" w:rsidRDefault="00A34407" w:rsidP="003B2315">
      <w:pPr>
        <w:pStyle w:val="Heading2"/>
      </w:pPr>
      <w:bookmarkStart w:id="6" w:name="_Toc362007051"/>
      <w:r w:rsidRPr="00B63768">
        <w:rPr>
          <w:rFonts w:eastAsia="Calibri"/>
        </w:rPr>
        <w:t>Биланс на состојба</w:t>
      </w:r>
      <w:r w:rsidR="00E11010" w:rsidRPr="00B63768">
        <w:rPr>
          <w:rFonts w:eastAsia="Calibri"/>
        </w:rPr>
        <w:t xml:space="preserve"> на банкарскиот систем</w:t>
      </w:r>
      <w:bookmarkEnd w:id="6"/>
    </w:p>
    <w:p w:rsidR="00D546D5" w:rsidRPr="00B63768" w:rsidRDefault="00D546D5" w:rsidP="00D546D5">
      <w:pPr>
        <w:pStyle w:val="BodyTextFirstIndent"/>
        <w:ind w:firstLine="0"/>
        <w:rPr>
          <w:rFonts w:cs="Tahoma"/>
          <w:b/>
          <w:lang w:val="mk-MK"/>
        </w:rPr>
      </w:pPr>
    </w:p>
    <w:p w:rsidR="002706D7" w:rsidRPr="00B63768" w:rsidRDefault="00040D2C" w:rsidP="002706D7">
      <w:pPr>
        <w:ind w:left="-4536" w:firstLine="708"/>
        <w:rPr>
          <w:lang w:val="mk-MK"/>
        </w:rPr>
      </w:pPr>
      <w:r w:rsidRPr="00040D2C">
        <w:rPr>
          <w:lang w:val="mk-MK"/>
        </w:rPr>
        <w:pict>
          <v:shape id="_x0000_s1119" type="#_x0000_t202" style="position:absolute;left:0;text-align:left;margin-left:-226.95pt;margin-top:171.75pt;width:467.7pt;height:385.7pt;z-index:251744256" strokecolor="black [3213]">
            <v:textbox style="mso-next-textbox:#_x0000_s1119">
              <w:txbxContent>
                <w:p w:rsidR="006F63B5" w:rsidRPr="00D261C4" w:rsidRDefault="006F63B5" w:rsidP="008265A1">
                  <w:pPr>
                    <w:pStyle w:val="Caption"/>
                  </w:pPr>
                  <w:bookmarkStart w:id="7" w:name="_Toc311630719"/>
                  <w:bookmarkStart w:id="8" w:name="_Toc322675473"/>
                  <w:bookmarkStart w:id="9" w:name="_Toc337029142"/>
                  <w:r>
                    <w:t xml:space="preserve">Табела бр.  </w:t>
                  </w:r>
                  <w:fldSimple w:instr=" SEQ Табела_бр._ \* ARABIC ">
                    <w:r>
                      <w:rPr>
                        <w:noProof/>
                      </w:rPr>
                      <w:t>1</w:t>
                    </w:r>
                  </w:fldSimple>
                  <w:r>
                    <w:t xml:space="preserve"> </w:t>
                  </w:r>
                  <w:r>
                    <w:rPr>
                      <w:lang w:val="mk-MK"/>
                    </w:rPr>
                    <w:t>Структура на активата и пасивата на ниво на банкарскиот систем</w:t>
                  </w:r>
                  <w:bookmarkEnd w:id="7"/>
                  <w:bookmarkEnd w:id="8"/>
                  <w:bookmarkEnd w:id="9"/>
                </w:p>
                <w:p w:rsidR="006F63B5" w:rsidRDefault="006F63B5" w:rsidP="00DB3E0D">
                  <w:pPr>
                    <w:rPr>
                      <w:noProof/>
                    </w:rPr>
                  </w:pPr>
                  <w:r w:rsidRPr="00901388">
                    <w:rPr>
                      <w:noProof/>
                    </w:rPr>
                    <w:drawing>
                      <wp:inline distT="0" distB="0" distL="0" distR="0">
                        <wp:extent cx="5774319" cy="424180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95262" cy="4257185"/>
                                </a:xfrm>
                                <a:prstGeom prst="rect">
                                  <a:avLst/>
                                </a:prstGeom>
                                <a:noFill/>
                                <a:ln w="9525">
                                  <a:noFill/>
                                  <a:miter lim="800000"/>
                                  <a:headEnd/>
                                  <a:tailEnd/>
                                </a:ln>
                              </pic:spPr>
                            </pic:pic>
                          </a:graphicData>
                        </a:graphic>
                      </wp:inline>
                    </w:drawing>
                  </w:r>
                </w:p>
                <w:p w:rsidR="006F63B5" w:rsidRDefault="006F63B5" w:rsidP="00DB3E0D">
                  <w:pPr>
                    <w:rPr>
                      <w:rFonts w:cs="Tahoma"/>
                      <w:sz w:val="18"/>
                      <w:szCs w:val="18"/>
                      <w:lang w:val="mk-MK"/>
                    </w:rPr>
                  </w:pPr>
                  <w:r w:rsidRPr="00A72927">
                    <w:rPr>
                      <w:sz w:val="18"/>
                      <w:szCs w:val="18"/>
                      <w:lang w:val="mk-MK"/>
                    </w:rPr>
                    <w:t>Извор:</w:t>
                  </w:r>
                  <w:r w:rsidRPr="00A72927">
                    <w:rPr>
                      <w:rFonts w:cs="Tahoma"/>
                      <w:sz w:val="18"/>
                      <w:szCs w:val="18"/>
                      <w:lang w:val="mk-MK"/>
                    </w:rPr>
                    <w:t xml:space="preserve"> </w:t>
                  </w:r>
                  <w:r>
                    <w:rPr>
                      <w:rFonts w:cs="Tahoma"/>
                      <w:sz w:val="18"/>
                      <w:szCs w:val="18"/>
                      <w:lang w:val="mk-MK"/>
                    </w:rPr>
                    <w:t>Народната банка</w:t>
                  </w:r>
                  <w:r w:rsidRPr="00A72927">
                    <w:rPr>
                      <w:rFonts w:cs="Tahoma"/>
                      <w:sz w:val="18"/>
                      <w:szCs w:val="18"/>
                      <w:lang w:val="mk-MK"/>
                    </w:rPr>
                    <w:t>, врз основа на податоците доставени од страна на банките.</w:t>
                  </w:r>
                </w:p>
                <w:p w:rsidR="006F63B5" w:rsidRPr="00303B89" w:rsidRDefault="006F63B5" w:rsidP="00DB3E0D">
                  <w:pPr>
                    <w:rPr>
                      <w:lang w:val="mk-MK"/>
                    </w:rPr>
                  </w:pPr>
                  <w:r>
                    <w:rPr>
                      <w:rFonts w:cs="Tahoma"/>
                      <w:sz w:val="18"/>
                      <w:szCs w:val="18"/>
                      <w:lang w:val="mk-MK"/>
                    </w:rPr>
                    <w:t>Забелешка</w:t>
                  </w:r>
                  <w:r w:rsidRPr="00D22DB7">
                    <w:rPr>
                      <w:rFonts w:cs="Tahoma"/>
                      <w:sz w:val="18"/>
                      <w:szCs w:val="18"/>
                      <w:lang w:val="mk-MK"/>
                    </w:rPr>
                    <w:t>:</w:t>
                  </w:r>
                  <w:r>
                    <w:rPr>
                      <w:rFonts w:cs="Tahoma"/>
                      <w:sz w:val="18"/>
                      <w:szCs w:val="18"/>
                      <w:lang w:val="mk-MK"/>
                    </w:rPr>
                    <w:t xml:space="preserve"> Позицијата „пласмани кај централната банка“  од анексот бр. 1,  во оваа табела е вклучена во позицијата „Парични средства и средства на сметка кај НБРМ“.</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C75F75" w:rsidRDefault="006F63B5" w:rsidP="00DB3E0D">
                  <w:pPr>
                    <w:rPr>
                      <w:b/>
                      <w:lang w:val="mk-MK"/>
                    </w:rPr>
                  </w:pPr>
                </w:p>
                <w:p w:rsidR="006F63B5" w:rsidRPr="00C75F75" w:rsidRDefault="006F63B5" w:rsidP="00DB3E0D">
                  <w:pPr>
                    <w:rPr>
                      <w:b/>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txbxContent>
            </v:textbox>
          </v:shape>
        </w:pict>
      </w:r>
      <w:r w:rsidR="00DB3E0D" w:rsidRPr="00B63768">
        <w:rPr>
          <w:rFonts w:cs="Tahoma"/>
          <w:b/>
          <w:lang w:val="mk-MK"/>
        </w:rPr>
        <w:t xml:space="preserve">Во првиот квартал од 2013 година, вкупните активности на банкарскиот систем продолжија да растат со забавено темпо во однос на крајот на 2012 година. Неизвесноста </w:t>
      </w:r>
      <w:r w:rsidR="00F76183" w:rsidRPr="00B63768">
        <w:rPr>
          <w:rFonts w:cs="Tahoma"/>
          <w:b/>
          <w:lang w:val="mk-MK"/>
        </w:rPr>
        <w:t xml:space="preserve">во однос на </w:t>
      </w:r>
      <w:r w:rsidR="00DB3E0D" w:rsidRPr="00B63768">
        <w:rPr>
          <w:rFonts w:cs="Tahoma"/>
          <w:b/>
          <w:lang w:val="mk-MK"/>
        </w:rPr>
        <w:t xml:space="preserve">движењата во </w:t>
      </w:r>
      <w:r w:rsidR="002D1170">
        <w:rPr>
          <w:rFonts w:cs="Tahoma"/>
          <w:b/>
          <w:lang w:val="mk-MK"/>
        </w:rPr>
        <w:t>евро-зона</w:t>
      </w:r>
      <w:r w:rsidR="00F76183" w:rsidRPr="00B63768">
        <w:rPr>
          <w:rFonts w:cs="Tahoma"/>
          <w:b/>
          <w:lang w:val="mk-MK"/>
        </w:rPr>
        <w:t>та и</w:t>
      </w:r>
      <w:r w:rsidR="00DB3E0D" w:rsidRPr="00B63768">
        <w:rPr>
          <w:rFonts w:cs="Tahoma"/>
          <w:b/>
          <w:lang w:val="mk-MK"/>
        </w:rPr>
        <w:t xml:space="preserve"> согледувања</w:t>
      </w:r>
      <w:r w:rsidR="00F321F2">
        <w:rPr>
          <w:rFonts w:cs="Tahoma"/>
          <w:b/>
          <w:lang w:val="mk-MK"/>
        </w:rPr>
        <w:t>та</w:t>
      </w:r>
      <w:r w:rsidR="00DB3E0D" w:rsidRPr="00B63768">
        <w:rPr>
          <w:rFonts w:cs="Tahoma"/>
          <w:b/>
          <w:lang w:val="mk-MK"/>
        </w:rPr>
        <w:t xml:space="preserve"> на банките за ризиците </w:t>
      </w:r>
      <w:r w:rsidR="0015693E" w:rsidRPr="00B63768">
        <w:rPr>
          <w:rFonts w:cs="Tahoma"/>
          <w:b/>
          <w:lang w:val="mk-MK"/>
        </w:rPr>
        <w:t>во однос на</w:t>
      </w:r>
      <w:r w:rsidR="00F76183" w:rsidRPr="00B63768">
        <w:rPr>
          <w:rFonts w:cs="Tahoma"/>
          <w:b/>
          <w:lang w:val="mk-MK"/>
        </w:rPr>
        <w:t xml:space="preserve"> движења</w:t>
      </w:r>
      <w:r w:rsidR="0015693E" w:rsidRPr="00B63768">
        <w:rPr>
          <w:rFonts w:cs="Tahoma"/>
          <w:b/>
          <w:lang w:val="mk-MK"/>
        </w:rPr>
        <w:t>та</w:t>
      </w:r>
      <w:r w:rsidR="00F76183" w:rsidRPr="00B63768">
        <w:rPr>
          <w:rFonts w:cs="Tahoma"/>
          <w:b/>
          <w:lang w:val="mk-MK"/>
        </w:rPr>
        <w:t xml:space="preserve"> во домашната економија, особено во корпоративниот сектор</w:t>
      </w:r>
      <w:r w:rsidR="00E56409" w:rsidRPr="00B63768">
        <w:rPr>
          <w:rFonts w:cs="Tahoma"/>
          <w:b/>
          <w:lang w:val="mk-MK"/>
        </w:rPr>
        <w:t>,</w:t>
      </w:r>
      <w:r w:rsidR="00DB3E0D" w:rsidRPr="00B63768">
        <w:rPr>
          <w:rFonts w:cs="Tahoma"/>
          <w:b/>
          <w:lang w:val="mk-MK"/>
        </w:rPr>
        <w:t xml:space="preserve"> предизвикаа забавување на растот на кредитната активност. Воздржаноста на банките во преземањето ризици се потврдува и преку зголемените вложувања во државни </w:t>
      </w:r>
      <w:r w:rsidR="002763AF" w:rsidRPr="00B63768">
        <w:rPr>
          <w:rFonts w:cs="Tahoma"/>
          <w:b/>
          <w:lang w:val="mk-MK"/>
        </w:rPr>
        <w:t>хартии од вредност</w:t>
      </w:r>
      <w:r w:rsidR="00DB3E0D" w:rsidRPr="00B63768">
        <w:rPr>
          <w:rFonts w:cs="Tahoma"/>
          <w:b/>
          <w:lang w:val="mk-MK"/>
        </w:rPr>
        <w:t xml:space="preserve">. </w:t>
      </w:r>
      <w:r w:rsidR="00D22DB7" w:rsidRPr="00B63768">
        <w:rPr>
          <w:b/>
          <w:lang w:val="mk-MK"/>
        </w:rPr>
        <w:t xml:space="preserve">Сепак, </w:t>
      </w:r>
      <w:r w:rsidR="00F321F2" w:rsidRPr="00B63768">
        <w:rPr>
          <w:b/>
          <w:lang w:val="mk-MK"/>
        </w:rPr>
        <w:t>се очекува д</w:t>
      </w:r>
      <w:r w:rsidR="00F321F2">
        <w:rPr>
          <w:b/>
          <w:lang w:val="mk-MK"/>
        </w:rPr>
        <w:t xml:space="preserve">ека </w:t>
      </w:r>
      <w:r w:rsidR="00D22DB7" w:rsidRPr="00B63768">
        <w:rPr>
          <w:b/>
          <w:lang w:val="mk-MK"/>
        </w:rPr>
        <w:t>подобрувањето на економските остварувања и зголемениот оптимизам, како и намалувањето на каматната стапка на благајничките записи и промените во инструментот задолжителна резерва преземени од Народната банка во текот на јануари и јули 2013 година</w:t>
      </w:r>
      <w:r w:rsidR="00B971C7" w:rsidRPr="00B63768">
        <w:rPr>
          <w:rStyle w:val="FootnoteReference"/>
          <w:b/>
          <w:lang w:val="mk-MK"/>
        </w:rPr>
        <w:footnoteReference w:id="6"/>
      </w:r>
      <w:r w:rsidR="00D22DB7" w:rsidRPr="00B63768">
        <w:rPr>
          <w:b/>
          <w:lang w:val="mk-MK"/>
        </w:rPr>
        <w:t xml:space="preserve"> </w:t>
      </w:r>
      <w:r w:rsidR="00F321F2">
        <w:rPr>
          <w:b/>
          <w:lang w:val="mk-MK"/>
        </w:rPr>
        <w:t xml:space="preserve">ќе </w:t>
      </w:r>
      <w:r w:rsidR="00D22DB7" w:rsidRPr="00B63768">
        <w:rPr>
          <w:b/>
          <w:lang w:val="mk-MK"/>
        </w:rPr>
        <w:t xml:space="preserve">придонесат за заживување на активностите на банките и </w:t>
      </w:r>
      <w:r w:rsidR="00F321F2">
        <w:rPr>
          <w:b/>
          <w:lang w:val="mk-MK"/>
        </w:rPr>
        <w:t xml:space="preserve">за </w:t>
      </w:r>
      <w:r w:rsidR="00D22DB7" w:rsidRPr="00B63768">
        <w:rPr>
          <w:b/>
          <w:lang w:val="mk-MK"/>
        </w:rPr>
        <w:t>забрзување на кредитниот раст.</w:t>
      </w:r>
      <w:r w:rsidR="00D22DB7" w:rsidRPr="00B63768">
        <w:rPr>
          <w:lang w:val="mk-MK"/>
        </w:rPr>
        <w:t xml:space="preserve"> </w:t>
      </w:r>
    </w:p>
    <w:p w:rsidR="00DB3E0D" w:rsidRPr="00B63768" w:rsidRDefault="00DB3E0D" w:rsidP="002706D7">
      <w:pPr>
        <w:pStyle w:val="BodyTextFirstIndent"/>
        <w:ind w:left="-4536" w:firstLine="567"/>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DB3E0D" w:rsidP="00DB3E0D">
      <w:pPr>
        <w:pStyle w:val="BodyTextFirstIndent"/>
        <w:ind w:firstLine="0"/>
        <w:rPr>
          <w:rFonts w:cs="Tahoma"/>
          <w:b/>
          <w:lang w:val="mk-MK"/>
        </w:rPr>
      </w:pPr>
    </w:p>
    <w:p w:rsidR="00DB3E0D" w:rsidRPr="00B63768" w:rsidRDefault="00040D2C" w:rsidP="00DB3E0D">
      <w:pPr>
        <w:pStyle w:val="BodyTextFirstIndent"/>
        <w:ind w:firstLine="0"/>
        <w:rPr>
          <w:rFonts w:cs="Tahoma"/>
          <w:b/>
          <w:lang w:val="mk-MK"/>
        </w:rPr>
      </w:pPr>
      <w:r w:rsidRPr="00040D2C">
        <w:rPr>
          <w:rFonts w:cs="Tahoma"/>
          <w:b/>
          <w:lang w:val="mk-MK"/>
        </w:rPr>
        <w:lastRenderedPageBreak/>
        <w:pict>
          <v:shape id="_x0000_s1118" type="#_x0000_t202" style="position:absolute;left:0;text-align:left;margin-left:-227.25pt;margin-top:-9.35pt;width:213pt;height:245.65pt;z-index:251743232" strokecolor="black [3213]">
            <v:textbox style="mso-next-textbox:#_x0000_s1118">
              <w:txbxContent>
                <w:p w:rsidR="006F63B5" w:rsidRDefault="006F63B5" w:rsidP="00DB3E0D">
                  <w:pPr>
                    <w:pStyle w:val="Caption"/>
                    <w:rPr>
                      <w:rFonts w:cs="Tahoma"/>
                      <w:lang w:val="mk-MK"/>
                    </w:rPr>
                  </w:pPr>
                  <w:r>
                    <w:t xml:space="preserve">Графикон бр. </w:t>
                  </w:r>
                  <w:fldSimple w:instr=" SEQ Графикон_бр. \* ARABIC ">
                    <w:r>
                      <w:rPr>
                        <w:noProof/>
                      </w:rPr>
                      <w:t>5</w:t>
                    </w:r>
                  </w:fldSimple>
                  <w:r>
                    <w:t xml:space="preserve"> </w:t>
                  </w:r>
                  <w:r>
                    <w:rPr>
                      <w:rFonts w:cs="Tahoma"/>
                      <w:lang w:val="mk-MK"/>
                    </w:rPr>
                    <w:t>Квартална и годишна промена на активата на банкарскиот систем</w:t>
                  </w:r>
                </w:p>
                <w:p w:rsidR="006F63B5" w:rsidRDefault="006F63B5" w:rsidP="00DB3E0D">
                  <w:pPr>
                    <w:pStyle w:val="Caption"/>
                    <w:rPr>
                      <w:noProof/>
                      <w:szCs w:val="18"/>
                      <w:lang w:val="mk-MK"/>
                    </w:rPr>
                  </w:pPr>
                  <w:r w:rsidRPr="0069360B">
                    <w:rPr>
                      <w:noProof/>
                      <w:szCs w:val="18"/>
                    </w:rPr>
                    <w:drawing>
                      <wp:inline distT="0" distB="0" distL="0" distR="0">
                        <wp:extent cx="2527749" cy="2266950"/>
                        <wp:effectExtent l="19050" t="0" r="5901"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545705" cy="2283053"/>
                                </a:xfrm>
                                <a:prstGeom prst="rect">
                                  <a:avLst/>
                                </a:prstGeom>
                                <a:noFill/>
                                <a:ln w="9525">
                                  <a:noFill/>
                                  <a:miter lim="800000"/>
                                  <a:headEnd/>
                                  <a:tailEnd/>
                                </a:ln>
                              </pic:spPr>
                            </pic:pic>
                          </a:graphicData>
                        </a:graphic>
                      </wp:inline>
                    </w:drawing>
                  </w:r>
                </w:p>
                <w:p w:rsidR="006F63B5" w:rsidRPr="00A72927" w:rsidRDefault="006F63B5" w:rsidP="00DB3E0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8476D5" w:rsidRDefault="006F63B5" w:rsidP="00DB3E0D">
                  <w:pPr>
                    <w:rPr>
                      <w:sz w:val="20"/>
                      <w:szCs w:val="20"/>
                      <w:lang w:val="mk-MK"/>
                    </w:rPr>
                  </w:pPr>
                  <w:r w:rsidRPr="008476D5">
                    <w:rPr>
                      <w:sz w:val="20"/>
                      <w:szCs w:val="20"/>
                      <w:lang w:val="mk-MK"/>
                    </w:rPr>
                    <w:t>Извор:</w:t>
                  </w:r>
                </w:p>
              </w:txbxContent>
            </v:textbox>
          </v:shape>
        </w:pict>
      </w:r>
    </w:p>
    <w:p w:rsidR="00DB3E0D" w:rsidRPr="00B63768" w:rsidRDefault="00DB3E0D" w:rsidP="00DB3E0D">
      <w:pPr>
        <w:pStyle w:val="BodyTextFirstIndent"/>
        <w:ind w:firstLine="720"/>
        <w:rPr>
          <w:rFonts w:cs="Tahoma"/>
          <w:lang w:val="mk-MK"/>
        </w:rPr>
      </w:pPr>
      <w:r w:rsidRPr="00B63768">
        <w:rPr>
          <w:rFonts w:cs="Tahoma"/>
          <w:lang w:val="mk-MK"/>
        </w:rPr>
        <w:t>На 31.3.2013 година, вкупната актива на банкарскиот систем изнесуваше 355.652 милион</w:t>
      </w:r>
      <w:r w:rsidR="002E6DDE">
        <w:rPr>
          <w:rFonts w:cs="Tahoma"/>
          <w:lang w:val="mk-MK"/>
        </w:rPr>
        <w:t>а</w:t>
      </w:r>
      <w:r w:rsidRPr="00B63768">
        <w:rPr>
          <w:rFonts w:cs="Tahoma"/>
          <w:lang w:val="mk-MK"/>
        </w:rPr>
        <w:t xml:space="preserve"> денари (анекс бр. 1)</w:t>
      </w:r>
      <w:r w:rsidR="00D22DB7" w:rsidRPr="00B63768">
        <w:rPr>
          <w:rFonts w:cs="Tahoma"/>
          <w:lang w:val="mk-MK"/>
        </w:rPr>
        <w:t xml:space="preserve"> </w:t>
      </w:r>
      <w:r w:rsidRPr="00B63768">
        <w:rPr>
          <w:rFonts w:cs="Tahoma"/>
          <w:lang w:val="mk-MK"/>
        </w:rPr>
        <w:t xml:space="preserve">и забележа </w:t>
      </w:r>
      <w:r w:rsidRPr="00B63768">
        <w:rPr>
          <w:rFonts w:cs="Tahoma"/>
          <w:b/>
          <w:lang w:val="mk-MK"/>
        </w:rPr>
        <w:t xml:space="preserve">забавен квартален раст од 0,8%, или само 3 милиони денари. </w:t>
      </w:r>
      <w:r w:rsidRPr="00B63768">
        <w:rPr>
          <w:rFonts w:cs="Tahoma"/>
          <w:lang w:val="mk-MK"/>
        </w:rPr>
        <w:t xml:space="preserve">И годишната стапка на раст на вкупната актива забави за 0,7 процентни поени. </w:t>
      </w:r>
    </w:p>
    <w:p w:rsidR="00DB3E0D" w:rsidRPr="00B63768" w:rsidRDefault="00DB3E0D" w:rsidP="00DB3E0D">
      <w:pPr>
        <w:pStyle w:val="BodyTextFirstIndent"/>
        <w:ind w:firstLine="720"/>
        <w:rPr>
          <w:rFonts w:cs="Tahoma"/>
          <w:b/>
          <w:lang w:val="mk-MK"/>
        </w:rPr>
      </w:pPr>
    </w:p>
    <w:p w:rsidR="00DB3E0D" w:rsidRPr="00B63768" w:rsidRDefault="00040D2C" w:rsidP="002706D7">
      <w:pPr>
        <w:pStyle w:val="BodyTextFirstIndent"/>
        <w:ind w:firstLine="720"/>
        <w:rPr>
          <w:lang w:val="mk-MK"/>
        </w:rPr>
      </w:pPr>
      <w:r w:rsidRPr="00040D2C">
        <w:rPr>
          <w:lang w:val="mk-MK"/>
        </w:rPr>
        <w:pict>
          <v:shape id="_x0000_s1120" type="#_x0000_t202" style="position:absolute;left:0;text-align:left;margin-left:-226.75pt;margin-top:124.35pt;width:213.25pt;height:325.7pt;z-index:251745280" strokecolor="black [3213]">
            <v:textbox style="mso-next-textbox:#_x0000_s1120">
              <w:txbxContent>
                <w:p w:rsidR="006F63B5" w:rsidRDefault="006F63B5" w:rsidP="00DB3E0D">
                  <w:pPr>
                    <w:pStyle w:val="Caption"/>
                    <w:rPr>
                      <w:rFonts w:cs="Tahoma"/>
                      <w:lang w:val="mk-MK"/>
                    </w:rPr>
                  </w:pPr>
                  <w:r>
                    <w:t xml:space="preserve">Графикон бр. </w:t>
                  </w:r>
                  <w:fldSimple w:instr=" SEQ Графикон_бр. \* ARABIC ">
                    <w:r>
                      <w:rPr>
                        <w:noProof/>
                      </w:rPr>
                      <w:t>6</w:t>
                    </w:r>
                  </w:fldSimple>
                  <w:r>
                    <w:t xml:space="preserve"> </w:t>
                  </w:r>
                  <w:r>
                    <w:rPr>
                      <w:rFonts w:cs="Tahoma"/>
                      <w:lang w:val="mk-MK"/>
                    </w:rPr>
                    <w:t>Квартална (горе) и годишна (долу) промена на портфолиото на хартии од вредност, во %</w:t>
                  </w:r>
                </w:p>
                <w:p w:rsidR="006F63B5" w:rsidRDefault="006F63B5" w:rsidP="00DB3E0D">
                  <w:pPr>
                    <w:pStyle w:val="Caption"/>
                    <w:rPr>
                      <w:noProof/>
                      <w:szCs w:val="18"/>
                      <w:lang w:val="mk-MK"/>
                    </w:rPr>
                  </w:pPr>
                  <w:r w:rsidRPr="006511D8">
                    <w:rPr>
                      <w:noProof/>
                      <w:szCs w:val="18"/>
                    </w:rPr>
                    <w:drawing>
                      <wp:inline distT="0" distB="0" distL="0" distR="0">
                        <wp:extent cx="2408186" cy="3115339"/>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2415540" cy="3124852"/>
                                </a:xfrm>
                                <a:prstGeom prst="rect">
                                  <a:avLst/>
                                </a:prstGeom>
                                <a:noFill/>
                                <a:ln w="9525">
                                  <a:noFill/>
                                  <a:miter lim="800000"/>
                                  <a:headEnd/>
                                  <a:tailEnd/>
                                </a:ln>
                              </pic:spPr>
                            </pic:pic>
                          </a:graphicData>
                        </a:graphic>
                      </wp:inline>
                    </w:drawing>
                  </w:r>
                </w:p>
                <w:p w:rsidR="006F63B5" w:rsidRPr="00A72927" w:rsidRDefault="006F63B5" w:rsidP="00DB3E0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8476D5" w:rsidRDefault="006F63B5" w:rsidP="00DB3E0D">
                  <w:pPr>
                    <w:rPr>
                      <w:sz w:val="20"/>
                      <w:szCs w:val="20"/>
                      <w:lang w:val="mk-MK"/>
                    </w:rPr>
                  </w:pPr>
                  <w:r w:rsidRPr="008476D5">
                    <w:rPr>
                      <w:sz w:val="20"/>
                      <w:szCs w:val="20"/>
                      <w:lang w:val="mk-MK"/>
                    </w:rPr>
                    <w:t>Извор:</w:t>
                  </w:r>
                </w:p>
              </w:txbxContent>
            </v:textbox>
          </v:shape>
        </w:pict>
      </w:r>
      <w:r w:rsidR="00DB3E0D" w:rsidRPr="00B63768">
        <w:rPr>
          <w:rFonts w:cs="Tahoma"/>
          <w:b/>
          <w:lang w:val="mk-MK"/>
        </w:rPr>
        <w:t>Најзначајните движења во активата се поврзани со забавувањето на растот на кредитната активност</w:t>
      </w:r>
      <w:r w:rsidR="00DB3E0D" w:rsidRPr="00B63768">
        <w:rPr>
          <w:rStyle w:val="FootnoteReference"/>
          <w:rFonts w:cs="Tahoma"/>
          <w:b/>
          <w:lang w:val="mk-MK"/>
        </w:rPr>
        <w:footnoteReference w:id="7"/>
      </w:r>
      <w:r w:rsidR="00DB3E0D" w:rsidRPr="00B63768">
        <w:rPr>
          <w:rFonts w:cs="Tahoma"/>
          <w:b/>
          <w:lang w:val="mk-MK"/>
        </w:rPr>
        <w:t xml:space="preserve"> и зголемувањето на </w:t>
      </w:r>
      <w:r w:rsidR="00B87EE8" w:rsidRPr="00B63768">
        <w:rPr>
          <w:rFonts w:cs="Tahoma"/>
          <w:b/>
          <w:lang w:val="mk-MK"/>
        </w:rPr>
        <w:t>вложувањата во ликвидни инструменти</w:t>
      </w:r>
      <w:r w:rsidR="002706D7" w:rsidRPr="00B63768">
        <w:rPr>
          <w:rFonts w:cs="Tahoma"/>
          <w:b/>
          <w:lang w:val="mk-MK"/>
        </w:rPr>
        <w:t xml:space="preserve">, особено </w:t>
      </w:r>
      <w:r w:rsidR="00DB3E0D" w:rsidRPr="00B63768">
        <w:rPr>
          <w:b/>
          <w:lang w:val="mk-MK"/>
        </w:rPr>
        <w:t>во државни хартии од вредност.</w:t>
      </w:r>
      <w:r w:rsidR="00DB3E0D" w:rsidRPr="00B63768">
        <w:rPr>
          <w:lang w:val="mk-MK"/>
        </w:rPr>
        <w:t xml:space="preserve"> Кварталниот раст на портфолиото на хартии од вредност целосно </w:t>
      </w:r>
      <w:r w:rsidR="00AC5219">
        <w:rPr>
          <w:lang w:val="mk-MK"/>
        </w:rPr>
        <w:t>произлегува</w:t>
      </w:r>
      <w:r w:rsidR="00DB3E0D" w:rsidRPr="00B63768">
        <w:rPr>
          <w:lang w:val="mk-MK"/>
        </w:rPr>
        <w:t xml:space="preserve"> од зголемените вложувања на банките во државни записи (за 2.615 милиони денари, или 9,3%). Наспроти ова, пласманите на банките во благајнички записи се намалија за 1.978 милиони денари, или 7,6</w:t>
      </w:r>
      <w:r w:rsidR="00E56409" w:rsidRPr="00B63768">
        <w:rPr>
          <w:lang w:val="mk-MK"/>
        </w:rPr>
        <w:t>%</w:t>
      </w:r>
      <w:r w:rsidR="00DB3E0D" w:rsidRPr="00B63768">
        <w:rPr>
          <w:lang w:val="mk-MK"/>
        </w:rPr>
        <w:t xml:space="preserve">. </w:t>
      </w:r>
    </w:p>
    <w:p w:rsidR="00DB3E0D" w:rsidRPr="00B63768" w:rsidRDefault="00DB3E0D" w:rsidP="00DB3E0D">
      <w:pPr>
        <w:tabs>
          <w:tab w:val="left" w:pos="1959"/>
        </w:tabs>
        <w:ind w:firstLine="720"/>
        <w:rPr>
          <w:lang w:val="mk-MK"/>
        </w:rPr>
      </w:pPr>
    </w:p>
    <w:p w:rsidR="00DB3E0D" w:rsidRPr="00B63768" w:rsidRDefault="00FC5FB1" w:rsidP="00DB3E0D">
      <w:pPr>
        <w:tabs>
          <w:tab w:val="left" w:pos="1959"/>
        </w:tabs>
        <w:ind w:firstLine="720"/>
        <w:rPr>
          <w:lang w:val="mk-MK"/>
        </w:rPr>
      </w:pPr>
      <w:r w:rsidRPr="00B63768">
        <w:rPr>
          <w:lang w:val="mk-MK"/>
        </w:rPr>
        <w:t>Н</w:t>
      </w:r>
      <w:r w:rsidR="00DB3E0D" w:rsidRPr="00B63768">
        <w:rPr>
          <w:lang w:val="mk-MK"/>
        </w:rPr>
        <w:t>а почетокот на првиот квартал од 2013 година, Народната банка ја намали максималната каматна стапка на благајничките записи од 3,75% на 3,5%. Земајќи предвид дека промените во монетарната политика влијаат со одредено временско задоцнување, ваквото монетарно олабавување би требало да има стимулативно влијание врз економската активност во наредниот период</w:t>
      </w:r>
      <w:r w:rsidR="002706D7" w:rsidRPr="00B63768">
        <w:rPr>
          <w:rStyle w:val="FootnoteReference"/>
          <w:lang w:val="mk-MK"/>
        </w:rPr>
        <w:footnoteReference w:id="8"/>
      </w:r>
      <w:r w:rsidR="00DB3E0D" w:rsidRPr="00B63768">
        <w:rPr>
          <w:lang w:val="mk-MK"/>
        </w:rPr>
        <w:t xml:space="preserve">. Годишното намалување на вложувањата во благајнички записи </w:t>
      </w:r>
      <w:r w:rsidR="00AC5219">
        <w:rPr>
          <w:lang w:val="mk-MK"/>
        </w:rPr>
        <w:t>придонесе за</w:t>
      </w:r>
      <w:r w:rsidR="00DB3E0D" w:rsidRPr="00B63768">
        <w:rPr>
          <w:lang w:val="mk-MK"/>
        </w:rPr>
        <w:t xml:space="preserve"> намалување на вкупното портфолио на хартии од вредност на годишно ниво.  </w:t>
      </w:r>
    </w:p>
    <w:p w:rsidR="00DB3E0D" w:rsidRPr="00B63768" w:rsidRDefault="00DB3E0D" w:rsidP="00DB3E0D">
      <w:pPr>
        <w:tabs>
          <w:tab w:val="left" w:pos="1959"/>
        </w:tabs>
        <w:rPr>
          <w:lang w:val="mk-MK"/>
        </w:rPr>
      </w:pPr>
    </w:p>
    <w:p w:rsidR="002706D7" w:rsidRPr="00B63768" w:rsidRDefault="002706D7" w:rsidP="00DB3E0D">
      <w:pPr>
        <w:tabs>
          <w:tab w:val="left" w:pos="1959"/>
        </w:tabs>
        <w:ind w:firstLine="720"/>
        <w:rPr>
          <w:lang w:val="mk-MK"/>
        </w:rPr>
      </w:pPr>
    </w:p>
    <w:p w:rsidR="00FC5FB1" w:rsidRPr="00B63768" w:rsidRDefault="00FC5FB1" w:rsidP="00DB3E0D">
      <w:pPr>
        <w:tabs>
          <w:tab w:val="left" w:pos="1959"/>
        </w:tabs>
        <w:ind w:firstLine="720"/>
        <w:rPr>
          <w:lang w:val="mk-MK"/>
        </w:rPr>
      </w:pPr>
    </w:p>
    <w:p w:rsidR="00FC5FB1" w:rsidRPr="00B63768" w:rsidRDefault="00FC5FB1" w:rsidP="00DB3E0D">
      <w:pPr>
        <w:tabs>
          <w:tab w:val="left" w:pos="1959"/>
        </w:tabs>
        <w:ind w:firstLine="720"/>
        <w:rPr>
          <w:lang w:val="mk-MK"/>
        </w:rPr>
      </w:pPr>
    </w:p>
    <w:p w:rsidR="002706D7" w:rsidRPr="00B63768" w:rsidRDefault="002706D7" w:rsidP="00DB3E0D">
      <w:pPr>
        <w:tabs>
          <w:tab w:val="left" w:pos="1959"/>
        </w:tabs>
        <w:ind w:firstLine="720"/>
        <w:rPr>
          <w:lang w:val="mk-MK"/>
        </w:rPr>
      </w:pPr>
    </w:p>
    <w:p w:rsidR="00A35985" w:rsidRPr="00B63768" w:rsidRDefault="00040D2C" w:rsidP="00DB3E0D">
      <w:pPr>
        <w:tabs>
          <w:tab w:val="left" w:pos="1959"/>
        </w:tabs>
        <w:ind w:firstLine="720"/>
        <w:rPr>
          <w:lang w:val="mk-MK"/>
        </w:rPr>
      </w:pPr>
      <w:r w:rsidRPr="00040D2C">
        <w:rPr>
          <w:lang w:val="mk-MK"/>
        </w:rPr>
        <w:lastRenderedPageBreak/>
        <w:pict>
          <v:shape id="_x0000_s1121" type="#_x0000_t202" style="position:absolute;left:0;text-align:left;margin-left:-226pt;margin-top:-10.35pt;width:213.25pt;height:220.2pt;z-index:251746304" strokecolor="black [3213]">
            <v:textbox style="mso-next-textbox:#_x0000_s1121">
              <w:txbxContent>
                <w:p w:rsidR="006F63B5" w:rsidRDefault="006F63B5" w:rsidP="00DB3E0D">
                  <w:pPr>
                    <w:pStyle w:val="Caption"/>
                    <w:rPr>
                      <w:rFonts w:cs="Tahoma"/>
                      <w:lang w:val="mk-MK"/>
                    </w:rPr>
                  </w:pPr>
                  <w:r>
                    <w:t xml:space="preserve">Графикон бр. </w:t>
                  </w:r>
                  <w:fldSimple w:instr=" SEQ Графикон_бр. \* ARABIC ">
                    <w:r>
                      <w:rPr>
                        <w:noProof/>
                      </w:rPr>
                      <w:t>7</w:t>
                    </w:r>
                  </w:fldSimple>
                  <w:r>
                    <w:t xml:space="preserve"> </w:t>
                  </w:r>
                  <w:r>
                    <w:rPr>
                      <w:rFonts w:cs="Tahoma"/>
                      <w:lang w:val="mk-MK"/>
                    </w:rPr>
                    <w:t>Структура на портфолиото на хартии од вредност</w:t>
                  </w:r>
                </w:p>
                <w:p w:rsidR="006F63B5" w:rsidRDefault="006F63B5" w:rsidP="00DB3E0D">
                  <w:pPr>
                    <w:pStyle w:val="Caption"/>
                    <w:rPr>
                      <w:noProof/>
                      <w:szCs w:val="18"/>
                      <w:lang w:val="mk-MK"/>
                    </w:rPr>
                  </w:pPr>
                  <w:r w:rsidRPr="00A114DC">
                    <w:rPr>
                      <w:noProof/>
                      <w:szCs w:val="18"/>
                    </w:rPr>
                    <w:drawing>
                      <wp:inline distT="0" distB="0" distL="0" distR="0">
                        <wp:extent cx="2508959" cy="2126512"/>
                        <wp:effectExtent l="19050" t="0" r="5641"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515870" cy="2132370"/>
                                </a:xfrm>
                                <a:prstGeom prst="rect">
                                  <a:avLst/>
                                </a:prstGeom>
                                <a:noFill/>
                                <a:ln w="9525">
                                  <a:noFill/>
                                  <a:miter lim="800000"/>
                                  <a:headEnd/>
                                  <a:tailEnd/>
                                </a:ln>
                              </pic:spPr>
                            </pic:pic>
                          </a:graphicData>
                        </a:graphic>
                      </wp:inline>
                    </w:drawing>
                  </w:r>
                </w:p>
                <w:p w:rsidR="006F63B5" w:rsidRPr="00A72927" w:rsidRDefault="006F63B5" w:rsidP="00DB3E0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8476D5" w:rsidRDefault="006F63B5" w:rsidP="00DB3E0D">
                  <w:pPr>
                    <w:rPr>
                      <w:sz w:val="20"/>
                      <w:szCs w:val="20"/>
                      <w:lang w:val="mk-MK"/>
                    </w:rPr>
                  </w:pPr>
                  <w:r w:rsidRPr="008476D5">
                    <w:rPr>
                      <w:sz w:val="20"/>
                      <w:szCs w:val="20"/>
                      <w:lang w:val="mk-MK"/>
                    </w:rPr>
                    <w:t>Извор:</w:t>
                  </w:r>
                </w:p>
              </w:txbxContent>
            </v:textbox>
          </v:shape>
        </w:pict>
      </w:r>
    </w:p>
    <w:p w:rsidR="00B971C7" w:rsidRPr="00B63768" w:rsidRDefault="00C0686D" w:rsidP="002763AF">
      <w:pPr>
        <w:tabs>
          <w:tab w:val="left" w:pos="709"/>
          <w:tab w:val="left" w:pos="1959"/>
        </w:tabs>
        <w:ind w:firstLine="709"/>
        <w:rPr>
          <w:lang w:val="mk-MK"/>
        </w:rPr>
      </w:pPr>
      <w:r w:rsidRPr="00B63768">
        <w:rPr>
          <w:lang w:val="mk-MK"/>
        </w:rPr>
        <w:t>П</w:t>
      </w:r>
      <w:r w:rsidR="00DB3E0D" w:rsidRPr="00B63768">
        <w:rPr>
          <w:lang w:val="mk-MK"/>
        </w:rPr>
        <w:t>ромени</w:t>
      </w:r>
      <w:r w:rsidRPr="00B63768">
        <w:rPr>
          <w:lang w:val="mk-MK"/>
        </w:rPr>
        <w:t>те</w:t>
      </w:r>
      <w:r w:rsidR="00DB3E0D" w:rsidRPr="00B63768">
        <w:rPr>
          <w:lang w:val="mk-MK"/>
        </w:rPr>
        <w:t xml:space="preserve"> во портфолиото на хартии од вредност во првиот квартал од 2013 година придонесоа за понатамошно зголемување на структурното учество на вложувањата во државните записи.      </w:t>
      </w:r>
    </w:p>
    <w:p w:rsidR="00B971C7" w:rsidRPr="00B63768" w:rsidRDefault="00B971C7" w:rsidP="00DB3E0D">
      <w:pPr>
        <w:tabs>
          <w:tab w:val="left" w:pos="709"/>
          <w:tab w:val="left" w:pos="1959"/>
        </w:tabs>
        <w:rPr>
          <w:lang w:val="mk-MK"/>
        </w:rPr>
      </w:pPr>
    </w:p>
    <w:p w:rsidR="00DB3E0D" w:rsidRPr="00B63768" w:rsidRDefault="00040D2C" w:rsidP="00DB3E0D">
      <w:pPr>
        <w:tabs>
          <w:tab w:val="left" w:pos="709"/>
          <w:tab w:val="left" w:pos="1959"/>
        </w:tabs>
        <w:rPr>
          <w:b/>
          <w:lang w:val="mk-MK"/>
        </w:rPr>
      </w:pPr>
      <w:r w:rsidRPr="00040D2C">
        <w:rPr>
          <w:lang w:val="mk-MK"/>
        </w:rPr>
        <w:pict>
          <v:shape id="_x0000_s1122" type="#_x0000_t202" style="position:absolute;left:0;text-align:left;margin-left:-225.55pt;margin-top:127.7pt;width:213.25pt;height:234.2pt;z-index:251747328" strokecolor="black [3213]">
            <v:textbox style="mso-next-textbox:#_x0000_s1122">
              <w:txbxContent>
                <w:p w:rsidR="006F63B5" w:rsidRDefault="006F63B5" w:rsidP="00DB3E0D">
                  <w:pPr>
                    <w:pStyle w:val="Caption"/>
                    <w:rPr>
                      <w:rFonts w:cs="Tahoma"/>
                      <w:lang w:val="mk-MK"/>
                    </w:rPr>
                  </w:pPr>
                  <w:r>
                    <w:t xml:space="preserve">Графикон бр. </w:t>
                  </w:r>
                  <w:fldSimple w:instr=" SEQ Графикон_бр. \* ARABIC ">
                    <w:r>
                      <w:rPr>
                        <w:noProof/>
                      </w:rPr>
                      <w:t>8</w:t>
                    </w:r>
                  </w:fldSimple>
                  <w:r>
                    <w:t xml:space="preserve"> </w:t>
                  </w:r>
                  <w:r>
                    <w:rPr>
                      <w:rFonts w:cs="Tahoma"/>
                      <w:lang w:val="mk-MK"/>
                    </w:rPr>
                    <w:t>Пласмани кај банките и другите финансиски институции, квартална промена во %</w:t>
                  </w:r>
                </w:p>
                <w:p w:rsidR="006F63B5" w:rsidRDefault="006F63B5" w:rsidP="00DB3E0D">
                  <w:pPr>
                    <w:pStyle w:val="Caption"/>
                    <w:rPr>
                      <w:noProof/>
                      <w:szCs w:val="18"/>
                      <w:lang w:val="mk-MK"/>
                    </w:rPr>
                  </w:pPr>
                  <w:r w:rsidRPr="009C032E">
                    <w:rPr>
                      <w:noProof/>
                      <w:szCs w:val="18"/>
                    </w:rPr>
                    <w:drawing>
                      <wp:inline distT="0" distB="0" distL="0" distR="0">
                        <wp:extent cx="2506419" cy="1967023"/>
                        <wp:effectExtent l="19050" t="0" r="8181"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515870" cy="1974440"/>
                                </a:xfrm>
                                <a:prstGeom prst="rect">
                                  <a:avLst/>
                                </a:prstGeom>
                                <a:noFill/>
                                <a:ln w="9525">
                                  <a:noFill/>
                                  <a:miter lim="800000"/>
                                  <a:headEnd/>
                                  <a:tailEnd/>
                                </a:ln>
                              </pic:spPr>
                            </pic:pic>
                          </a:graphicData>
                        </a:graphic>
                      </wp:inline>
                    </w:drawing>
                  </w:r>
                </w:p>
                <w:p w:rsidR="006F63B5" w:rsidRPr="00A72927" w:rsidRDefault="006F63B5" w:rsidP="00DB3E0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8476D5" w:rsidRDefault="006F63B5" w:rsidP="00DB3E0D">
                  <w:pPr>
                    <w:rPr>
                      <w:sz w:val="20"/>
                      <w:szCs w:val="20"/>
                      <w:lang w:val="mk-MK"/>
                    </w:rPr>
                  </w:pPr>
                  <w:r w:rsidRPr="008476D5">
                    <w:rPr>
                      <w:sz w:val="20"/>
                      <w:szCs w:val="20"/>
                      <w:lang w:val="mk-MK"/>
                    </w:rPr>
                    <w:t>Извор:</w:t>
                  </w:r>
                </w:p>
              </w:txbxContent>
            </v:textbox>
          </v:shape>
        </w:pict>
      </w:r>
      <w:r w:rsidR="00B971C7" w:rsidRPr="00B63768">
        <w:rPr>
          <w:lang w:val="mk-MK"/>
        </w:rPr>
        <w:tab/>
      </w:r>
      <w:r w:rsidR="00DB3E0D" w:rsidRPr="00B63768">
        <w:rPr>
          <w:lang w:val="mk-MK"/>
        </w:rPr>
        <w:t xml:space="preserve">Во првиот квартал од 2013 година,  </w:t>
      </w:r>
      <w:r w:rsidR="00DB3E0D" w:rsidRPr="00B63768">
        <w:rPr>
          <w:b/>
          <w:lang w:val="mk-MK"/>
        </w:rPr>
        <w:t>се забележа зголемување на пласманите кај банки</w:t>
      </w:r>
      <w:r w:rsidR="00167878">
        <w:rPr>
          <w:b/>
          <w:lang w:val="mk-MK"/>
        </w:rPr>
        <w:t>те</w:t>
      </w:r>
      <w:r w:rsidR="00DB3E0D" w:rsidRPr="00B63768">
        <w:rPr>
          <w:b/>
          <w:lang w:val="mk-MK"/>
        </w:rPr>
        <w:t xml:space="preserve"> и други</w:t>
      </w:r>
      <w:r w:rsidR="00167878">
        <w:rPr>
          <w:b/>
          <w:lang w:val="mk-MK"/>
        </w:rPr>
        <w:t>те</w:t>
      </w:r>
      <w:r w:rsidR="00DB3E0D" w:rsidRPr="00B63768">
        <w:rPr>
          <w:b/>
          <w:lang w:val="mk-MK"/>
        </w:rPr>
        <w:t xml:space="preserve"> финансиски институции, во најголема мера како резултат на растот на кредитите на домашните банки</w:t>
      </w:r>
      <w:r w:rsidR="00DB3E0D" w:rsidRPr="00B63768">
        <w:rPr>
          <w:lang w:val="mk-MK"/>
        </w:rPr>
        <w:t xml:space="preserve"> за 528 милиони денари. Ваквиот раст, во најголем дел е резултат на растот на долгорочните кредити во странска валута од кредитната линија од Европската инвестициона банка пласирана преку МБПР</w:t>
      </w:r>
      <w:bookmarkStart w:id="10" w:name="_Ref361839077"/>
      <w:r w:rsidR="006C4116" w:rsidRPr="00B63768">
        <w:rPr>
          <w:rStyle w:val="FootnoteReference"/>
          <w:lang w:val="mk-MK"/>
        </w:rPr>
        <w:footnoteReference w:id="9"/>
      </w:r>
      <w:bookmarkEnd w:id="10"/>
      <w:r w:rsidR="00DB3E0D" w:rsidRPr="00B63768">
        <w:rPr>
          <w:lang w:val="mk-MK"/>
        </w:rPr>
        <w:t xml:space="preserve">. </w:t>
      </w:r>
      <w:r w:rsidR="00DB3E0D" w:rsidRPr="00B63768">
        <w:rPr>
          <w:rFonts w:cs="Tahoma"/>
          <w:b/>
          <w:lang w:val="mk-MK"/>
        </w:rPr>
        <w:t>Пласманите на тековни</w:t>
      </w:r>
      <w:r w:rsidR="00167878">
        <w:rPr>
          <w:rFonts w:cs="Tahoma"/>
          <w:b/>
          <w:lang w:val="mk-MK"/>
        </w:rPr>
        <w:t>те</w:t>
      </w:r>
      <w:r w:rsidR="00DB3E0D" w:rsidRPr="00B63768">
        <w:rPr>
          <w:rFonts w:cs="Tahoma"/>
          <w:b/>
          <w:lang w:val="mk-MK"/>
        </w:rPr>
        <w:t xml:space="preserve"> сметки кај странските банки </w:t>
      </w:r>
      <w:r w:rsidR="00DB3E0D" w:rsidRPr="00B63768">
        <w:rPr>
          <w:rFonts w:cs="Tahoma"/>
          <w:lang w:val="mk-MK"/>
        </w:rPr>
        <w:t>забележаа намалување за 1.196 милиони денари, при зголемување на орочените депозити во странски банки за 778 милиони денари.</w:t>
      </w:r>
      <w:r w:rsidR="00DB3E0D" w:rsidRPr="00B63768">
        <w:rPr>
          <w:lang w:val="mk-MK"/>
        </w:rPr>
        <w:t xml:space="preserve">   </w:t>
      </w:r>
      <w:r w:rsidR="00DB3E0D" w:rsidRPr="00B63768">
        <w:rPr>
          <w:b/>
          <w:lang w:val="mk-MK"/>
        </w:rPr>
        <w:t xml:space="preserve">   </w:t>
      </w:r>
    </w:p>
    <w:p w:rsidR="002706D7" w:rsidRPr="00B63768" w:rsidRDefault="002706D7" w:rsidP="00DB3E0D">
      <w:pPr>
        <w:tabs>
          <w:tab w:val="left" w:pos="567"/>
          <w:tab w:val="left" w:pos="709"/>
          <w:tab w:val="left" w:pos="1959"/>
        </w:tabs>
        <w:rPr>
          <w:b/>
          <w:lang w:val="mk-MK"/>
        </w:rPr>
      </w:pPr>
    </w:p>
    <w:p w:rsidR="00E800DC" w:rsidRPr="00B63768" w:rsidRDefault="002706D7" w:rsidP="00DB3E0D">
      <w:pPr>
        <w:tabs>
          <w:tab w:val="left" w:pos="567"/>
          <w:tab w:val="left" w:pos="709"/>
          <w:tab w:val="left" w:pos="1959"/>
        </w:tabs>
        <w:rPr>
          <w:b/>
          <w:lang w:val="mk-MK"/>
        </w:rPr>
      </w:pPr>
      <w:r w:rsidRPr="00B63768">
        <w:rPr>
          <w:b/>
          <w:lang w:val="mk-MK"/>
        </w:rPr>
        <w:tab/>
      </w: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E800DC" w:rsidRPr="00B63768" w:rsidRDefault="00E800DC" w:rsidP="00DB3E0D">
      <w:pPr>
        <w:tabs>
          <w:tab w:val="left" w:pos="567"/>
          <w:tab w:val="left" w:pos="709"/>
          <w:tab w:val="left" w:pos="1959"/>
        </w:tabs>
        <w:rPr>
          <w:b/>
          <w:lang w:val="mk-MK"/>
        </w:rPr>
      </w:pPr>
    </w:p>
    <w:p w:rsidR="00DB3E0D" w:rsidRPr="00B63768" w:rsidRDefault="00E800DC" w:rsidP="00DB3E0D">
      <w:pPr>
        <w:tabs>
          <w:tab w:val="left" w:pos="567"/>
          <w:tab w:val="left" w:pos="709"/>
          <w:tab w:val="left" w:pos="1959"/>
        </w:tabs>
        <w:rPr>
          <w:lang w:val="mk-MK"/>
        </w:rPr>
      </w:pPr>
      <w:r w:rsidRPr="00B63768">
        <w:rPr>
          <w:b/>
          <w:lang w:val="mk-MK"/>
        </w:rPr>
        <w:tab/>
      </w:r>
      <w:r w:rsidR="00DB3E0D" w:rsidRPr="00B63768">
        <w:rPr>
          <w:b/>
          <w:lang w:val="mk-MK"/>
        </w:rPr>
        <w:t xml:space="preserve">Движењето на пасивата во првиот квартал од 2013 година во најголем дел </w:t>
      </w:r>
      <w:r w:rsidR="00167878">
        <w:rPr>
          <w:b/>
          <w:lang w:val="mk-MK"/>
        </w:rPr>
        <w:t>произлезе</w:t>
      </w:r>
      <w:r w:rsidR="00DB3E0D" w:rsidRPr="00B63768">
        <w:rPr>
          <w:b/>
          <w:lang w:val="mk-MK"/>
        </w:rPr>
        <w:t xml:space="preserve"> од растот на депозитите на нефинансиските субјекти</w:t>
      </w:r>
      <w:r w:rsidR="00DB3E0D" w:rsidRPr="00B63768">
        <w:rPr>
          <w:rStyle w:val="FootnoteReference"/>
          <w:b/>
          <w:lang w:val="mk-MK"/>
        </w:rPr>
        <w:footnoteReference w:id="10"/>
      </w:r>
      <w:r w:rsidR="00DB3E0D" w:rsidRPr="00B63768">
        <w:rPr>
          <w:b/>
          <w:lang w:val="mk-MK"/>
        </w:rPr>
        <w:t xml:space="preserve">. </w:t>
      </w:r>
      <w:r w:rsidR="00DB3E0D" w:rsidRPr="00B63768">
        <w:rPr>
          <w:lang w:val="mk-MK"/>
        </w:rPr>
        <w:t xml:space="preserve">Сепак, </w:t>
      </w:r>
      <w:r w:rsidR="007100D8" w:rsidRPr="00B63768">
        <w:rPr>
          <w:lang w:val="mk-MK"/>
        </w:rPr>
        <w:t>нивниот</w:t>
      </w:r>
      <w:r w:rsidR="00DB3E0D" w:rsidRPr="00B63768">
        <w:rPr>
          <w:lang w:val="mk-MK"/>
        </w:rPr>
        <w:t xml:space="preserve"> раст забав</w:t>
      </w:r>
      <w:r w:rsidR="007100D8" w:rsidRPr="00B63768">
        <w:rPr>
          <w:lang w:val="mk-MK"/>
        </w:rPr>
        <w:t>и</w:t>
      </w:r>
      <w:r w:rsidR="00167878">
        <w:rPr>
          <w:lang w:val="mk-MK"/>
        </w:rPr>
        <w:t xml:space="preserve"> </w:t>
      </w:r>
      <w:r w:rsidR="00DB3E0D" w:rsidRPr="00B63768">
        <w:rPr>
          <w:lang w:val="mk-MK"/>
        </w:rPr>
        <w:t>за 1,6 проценти поени</w:t>
      </w:r>
      <w:r w:rsidR="002763AF" w:rsidRPr="00B63768">
        <w:rPr>
          <w:lang w:val="mk-MK"/>
        </w:rPr>
        <w:t xml:space="preserve"> на квартална основа</w:t>
      </w:r>
      <w:r w:rsidR="00DB3E0D" w:rsidRPr="00B63768">
        <w:rPr>
          <w:lang w:val="mk-MK"/>
        </w:rPr>
        <w:t xml:space="preserve"> и </w:t>
      </w:r>
      <w:r w:rsidR="002763AF" w:rsidRPr="00B63768">
        <w:rPr>
          <w:lang w:val="mk-MK"/>
        </w:rPr>
        <w:t xml:space="preserve">за 0,2 процентни </w:t>
      </w:r>
      <w:r w:rsidR="00167878" w:rsidRPr="00B63768">
        <w:rPr>
          <w:lang w:val="mk-MK"/>
        </w:rPr>
        <w:t>поен</w:t>
      </w:r>
      <w:r w:rsidR="00167878">
        <w:rPr>
          <w:lang w:val="mk-MK"/>
        </w:rPr>
        <w:t>а</w:t>
      </w:r>
      <w:r w:rsidR="00167878" w:rsidRPr="00B63768">
        <w:rPr>
          <w:lang w:val="mk-MK"/>
        </w:rPr>
        <w:t xml:space="preserve"> </w:t>
      </w:r>
      <w:r w:rsidR="00DB3E0D" w:rsidRPr="00B63768">
        <w:rPr>
          <w:lang w:val="mk-MK"/>
        </w:rPr>
        <w:t>на годишна основа</w:t>
      </w:r>
      <w:r w:rsidR="002763AF" w:rsidRPr="00B63768">
        <w:rPr>
          <w:lang w:val="mk-MK"/>
        </w:rPr>
        <w:t>.</w:t>
      </w:r>
      <w:r w:rsidR="00DB3E0D" w:rsidRPr="00B63768">
        <w:rPr>
          <w:lang w:val="mk-MK"/>
        </w:rPr>
        <w:t xml:space="preserve"> </w:t>
      </w:r>
    </w:p>
    <w:p w:rsidR="007100D8" w:rsidRPr="00B63768" w:rsidRDefault="00DB3E0D" w:rsidP="00DB3E0D">
      <w:pPr>
        <w:tabs>
          <w:tab w:val="left" w:pos="567"/>
          <w:tab w:val="left" w:pos="709"/>
          <w:tab w:val="left" w:pos="1959"/>
        </w:tabs>
        <w:rPr>
          <w:lang w:val="mk-MK"/>
        </w:rPr>
      </w:pPr>
      <w:r w:rsidRPr="00B63768">
        <w:rPr>
          <w:lang w:val="mk-MK"/>
        </w:rPr>
        <w:tab/>
      </w:r>
    </w:p>
    <w:p w:rsidR="00DB3E0D" w:rsidRPr="00B63768" w:rsidRDefault="007100D8" w:rsidP="00DB3E0D">
      <w:pPr>
        <w:tabs>
          <w:tab w:val="left" w:pos="567"/>
          <w:tab w:val="left" w:pos="709"/>
          <w:tab w:val="left" w:pos="1959"/>
        </w:tabs>
        <w:rPr>
          <w:lang w:val="mk-MK"/>
        </w:rPr>
      </w:pPr>
      <w:r w:rsidRPr="00B63768">
        <w:rPr>
          <w:lang w:val="mk-MK"/>
        </w:rPr>
        <w:tab/>
      </w:r>
      <w:r w:rsidR="00DB3E0D" w:rsidRPr="00B63768">
        <w:rPr>
          <w:b/>
          <w:lang w:val="mk-MK"/>
        </w:rPr>
        <w:t xml:space="preserve">Обврските </w:t>
      </w:r>
      <w:r w:rsidR="00167878">
        <w:rPr>
          <w:b/>
          <w:lang w:val="mk-MK"/>
        </w:rPr>
        <w:t>врз основа на</w:t>
      </w:r>
      <w:r w:rsidR="00167878" w:rsidRPr="00B63768">
        <w:rPr>
          <w:b/>
          <w:lang w:val="mk-MK"/>
        </w:rPr>
        <w:t xml:space="preserve"> </w:t>
      </w:r>
      <w:r w:rsidR="00DB3E0D" w:rsidRPr="00B63768">
        <w:rPr>
          <w:b/>
          <w:lang w:val="mk-MK"/>
        </w:rPr>
        <w:t>кредити и депозитите од банки</w:t>
      </w:r>
      <w:r w:rsidR="00167878">
        <w:rPr>
          <w:b/>
          <w:lang w:val="mk-MK"/>
        </w:rPr>
        <w:t>те</w:t>
      </w:r>
      <w:r w:rsidR="00DB3E0D" w:rsidRPr="00B63768">
        <w:rPr>
          <w:b/>
          <w:lang w:val="mk-MK"/>
        </w:rPr>
        <w:t xml:space="preserve"> и останати</w:t>
      </w:r>
      <w:r w:rsidR="00167878">
        <w:rPr>
          <w:b/>
          <w:lang w:val="mk-MK"/>
        </w:rPr>
        <w:t>те</w:t>
      </w:r>
      <w:r w:rsidR="00DB3E0D" w:rsidRPr="00B63768">
        <w:rPr>
          <w:b/>
          <w:lang w:val="mk-MK"/>
        </w:rPr>
        <w:t xml:space="preserve"> финансиски институции</w:t>
      </w:r>
      <w:r w:rsidR="00167878">
        <w:rPr>
          <w:b/>
          <w:lang w:val="mk-MK"/>
        </w:rPr>
        <w:t>,</w:t>
      </w:r>
      <w:r w:rsidR="00DB3E0D" w:rsidRPr="00B63768">
        <w:rPr>
          <w:b/>
          <w:lang w:val="mk-MK"/>
        </w:rPr>
        <w:t xml:space="preserve"> исто така</w:t>
      </w:r>
      <w:r w:rsidR="00167878">
        <w:rPr>
          <w:b/>
          <w:lang w:val="mk-MK"/>
        </w:rPr>
        <w:t>,</w:t>
      </w:r>
      <w:r w:rsidR="00DB3E0D" w:rsidRPr="00B63768">
        <w:rPr>
          <w:b/>
          <w:lang w:val="mk-MK"/>
        </w:rPr>
        <w:t xml:space="preserve"> имаа одредено влијание врз зголемувањето на </w:t>
      </w:r>
      <w:r w:rsidR="00DB3E0D" w:rsidRPr="00B63768">
        <w:rPr>
          <w:b/>
          <w:lang w:val="mk-MK"/>
        </w:rPr>
        <w:lastRenderedPageBreak/>
        <w:t xml:space="preserve">изворите на финансирање на банките. </w:t>
      </w:r>
      <w:r w:rsidR="00DB3E0D" w:rsidRPr="00B63768">
        <w:rPr>
          <w:lang w:val="mk-MK"/>
        </w:rPr>
        <w:t xml:space="preserve">Кварталното движење на обврските на банките врз основа на користени кредити </w:t>
      </w:r>
      <w:r w:rsidR="00167878">
        <w:rPr>
          <w:lang w:val="mk-MK"/>
        </w:rPr>
        <w:t>произлегува</w:t>
      </w:r>
      <w:r w:rsidR="00DB3E0D" w:rsidRPr="00B63768">
        <w:rPr>
          <w:lang w:val="mk-MK"/>
        </w:rPr>
        <w:t xml:space="preserve"> од зголемувањето на кредити</w:t>
      </w:r>
      <w:r w:rsidR="00167878">
        <w:rPr>
          <w:lang w:val="mk-MK"/>
        </w:rPr>
        <w:t>те</w:t>
      </w:r>
      <w:r w:rsidR="00DB3E0D" w:rsidRPr="00B63768">
        <w:rPr>
          <w:lang w:val="mk-MK"/>
        </w:rPr>
        <w:t xml:space="preserve"> </w:t>
      </w:r>
      <w:r w:rsidR="002706D7" w:rsidRPr="00B63768">
        <w:rPr>
          <w:lang w:val="mk-MK"/>
        </w:rPr>
        <w:t xml:space="preserve">од </w:t>
      </w:r>
      <w:r w:rsidR="00DB3E0D" w:rsidRPr="00B63768">
        <w:rPr>
          <w:lang w:val="mk-MK"/>
        </w:rPr>
        <w:t>нерезиденти</w:t>
      </w:r>
      <w:r w:rsidR="00167878">
        <w:rPr>
          <w:lang w:val="mk-MK"/>
        </w:rPr>
        <w:t>те</w:t>
      </w:r>
      <w:r w:rsidR="00DB3E0D" w:rsidRPr="00B63768">
        <w:rPr>
          <w:lang w:val="mk-MK"/>
        </w:rPr>
        <w:t xml:space="preserve"> (за 1.193 милиони денари), што</w:t>
      </w:r>
      <w:r w:rsidR="00167878">
        <w:rPr>
          <w:lang w:val="mk-MK"/>
        </w:rPr>
        <w:t>,</w:t>
      </w:r>
      <w:r w:rsidR="00DB3E0D" w:rsidRPr="00B63768">
        <w:rPr>
          <w:lang w:val="mk-MK"/>
        </w:rPr>
        <w:t xml:space="preserve"> пак</w:t>
      </w:r>
      <w:r w:rsidR="00167878">
        <w:rPr>
          <w:lang w:val="mk-MK"/>
        </w:rPr>
        <w:t>,</w:t>
      </w:r>
      <w:r w:rsidR="00DB3E0D" w:rsidRPr="00B63768">
        <w:rPr>
          <w:lang w:val="mk-MK"/>
        </w:rPr>
        <w:t xml:space="preserve"> во целост е резултат на зголемувањето на обврските </w:t>
      </w:r>
      <w:r w:rsidR="0008057C" w:rsidRPr="00B63768">
        <w:rPr>
          <w:lang w:val="mk-MK"/>
        </w:rPr>
        <w:t xml:space="preserve">врз основа на </w:t>
      </w:r>
      <w:r w:rsidR="001941CC" w:rsidRPr="00B63768">
        <w:rPr>
          <w:lang w:val="mk-MK"/>
        </w:rPr>
        <w:t xml:space="preserve">двете </w:t>
      </w:r>
      <w:r w:rsidR="0008057C" w:rsidRPr="00B63768">
        <w:rPr>
          <w:lang w:val="mk-MK"/>
        </w:rPr>
        <w:t>искористени транши од кредитната линија на ЕИБ</w:t>
      </w:r>
      <w:r w:rsidR="00DB3E0D" w:rsidRPr="00B63768">
        <w:rPr>
          <w:lang w:val="mk-MK"/>
        </w:rPr>
        <w:t>.</w:t>
      </w:r>
      <w:r w:rsidR="0008057C" w:rsidRPr="00B63768">
        <w:rPr>
          <w:lang w:val="mk-MK"/>
        </w:rPr>
        <w:t xml:space="preserve"> Како резултат на пласирањето на овие средства од страна на МБПР преку банките во земјата, растат и </w:t>
      </w:r>
      <w:r w:rsidR="00DB3E0D" w:rsidRPr="00B63768">
        <w:rPr>
          <w:lang w:val="mk-MK"/>
        </w:rPr>
        <w:t xml:space="preserve">обврските </w:t>
      </w:r>
      <w:r w:rsidR="0008057C" w:rsidRPr="00B63768">
        <w:rPr>
          <w:lang w:val="mk-MK"/>
        </w:rPr>
        <w:t>врз основа на</w:t>
      </w:r>
      <w:r w:rsidR="00DB3E0D" w:rsidRPr="00B63768">
        <w:rPr>
          <w:lang w:val="mk-MK"/>
        </w:rPr>
        <w:t xml:space="preserve"> кредити </w:t>
      </w:r>
      <w:r w:rsidR="0008057C" w:rsidRPr="00B63768">
        <w:rPr>
          <w:lang w:val="mk-MK"/>
        </w:rPr>
        <w:t>кон</w:t>
      </w:r>
      <w:r w:rsidR="001941CC" w:rsidRPr="00B63768">
        <w:rPr>
          <w:lang w:val="mk-MK"/>
        </w:rPr>
        <w:t xml:space="preserve"> финансиски</w:t>
      </w:r>
      <w:r w:rsidR="00167878">
        <w:rPr>
          <w:lang w:val="mk-MK"/>
        </w:rPr>
        <w:t>те</w:t>
      </w:r>
      <w:r w:rsidR="001941CC" w:rsidRPr="00B63768">
        <w:rPr>
          <w:lang w:val="mk-MK"/>
        </w:rPr>
        <w:t xml:space="preserve"> друштва</w:t>
      </w:r>
      <w:r w:rsidR="0008057C" w:rsidRPr="00B63768">
        <w:rPr>
          <w:lang w:val="mk-MK"/>
        </w:rPr>
        <w:t xml:space="preserve"> </w:t>
      </w:r>
      <w:r w:rsidR="001941CC" w:rsidRPr="00B63768">
        <w:rPr>
          <w:lang w:val="mk-MK"/>
        </w:rPr>
        <w:t xml:space="preserve">- </w:t>
      </w:r>
      <w:r w:rsidR="0008057C" w:rsidRPr="00B63768">
        <w:rPr>
          <w:lang w:val="mk-MK"/>
        </w:rPr>
        <w:t>резиденти</w:t>
      </w:r>
      <w:r w:rsidR="00DB3E0D" w:rsidRPr="00B63768">
        <w:rPr>
          <w:lang w:val="mk-MK"/>
        </w:rPr>
        <w:t xml:space="preserve">. </w:t>
      </w:r>
    </w:p>
    <w:p w:rsidR="00DB3E0D" w:rsidRPr="00B63768" w:rsidRDefault="00040D2C" w:rsidP="00DB3E0D">
      <w:pPr>
        <w:tabs>
          <w:tab w:val="left" w:pos="1959"/>
        </w:tabs>
        <w:rPr>
          <w:lang w:val="mk-MK"/>
        </w:rPr>
      </w:pPr>
      <w:r w:rsidRPr="00040D2C">
        <w:rPr>
          <w:lang w:val="mk-MK"/>
        </w:rPr>
        <w:pict>
          <v:shape id="_x0000_s1123" type="#_x0000_t202" style="position:absolute;left:0;text-align:left;margin-left:-225.75pt;margin-top:-180.95pt;width:213.25pt;height:225.75pt;z-index:251748352" strokecolor="black [3213]">
            <v:textbox style="mso-next-textbox:#_x0000_s1123">
              <w:txbxContent>
                <w:p w:rsidR="006F63B5" w:rsidRDefault="006F63B5" w:rsidP="00DB3E0D">
                  <w:pPr>
                    <w:pStyle w:val="Caption"/>
                    <w:rPr>
                      <w:rFonts w:cs="Tahoma"/>
                      <w:lang w:val="mk-MK"/>
                    </w:rPr>
                  </w:pPr>
                  <w:r>
                    <w:t xml:space="preserve">Графикон бр. </w:t>
                  </w:r>
                  <w:fldSimple w:instr=" SEQ Графикон_бр. \* ARABIC ">
                    <w:r>
                      <w:rPr>
                        <w:noProof/>
                      </w:rPr>
                      <w:t>9</w:t>
                    </w:r>
                  </w:fldSimple>
                  <w:r>
                    <w:t xml:space="preserve"> </w:t>
                  </w:r>
                  <w:r>
                    <w:rPr>
                      <w:rFonts w:cs="Tahoma"/>
                      <w:lang w:val="mk-MK"/>
                    </w:rPr>
                    <w:t>Обврски врз основа на кредити, квартална промена во %</w:t>
                  </w:r>
                </w:p>
                <w:p w:rsidR="006F63B5" w:rsidRDefault="006F63B5" w:rsidP="00DB3E0D">
                  <w:pPr>
                    <w:pStyle w:val="Caption"/>
                    <w:rPr>
                      <w:noProof/>
                      <w:szCs w:val="18"/>
                      <w:lang w:val="mk-MK"/>
                    </w:rPr>
                  </w:pPr>
                  <w:r w:rsidRPr="00C85890">
                    <w:rPr>
                      <w:noProof/>
                      <w:szCs w:val="18"/>
                    </w:rPr>
                    <w:drawing>
                      <wp:inline distT="0" distB="0" distL="0" distR="0">
                        <wp:extent cx="2508959" cy="2137144"/>
                        <wp:effectExtent l="19050" t="0" r="5641"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515870" cy="2143031"/>
                                </a:xfrm>
                                <a:prstGeom prst="rect">
                                  <a:avLst/>
                                </a:prstGeom>
                                <a:noFill/>
                                <a:ln w="9525">
                                  <a:noFill/>
                                  <a:miter lim="800000"/>
                                  <a:headEnd/>
                                  <a:tailEnd/>
                                </a:ln>
                              </pic:spPr>
                            </pic:pic>
                          </a:graphicData>
                        </a:graphic>
                      </wp:inline>
                    </w:drawing>
                  </w:r>
                </w:p>
                <w:p w:rsidR="006F63B5" w:rsidRPr="00A72927" w:rsidRDefault="006F63B5" w:rsidP="00DB3E0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8476D5" w:rsidRDefault="006F63B5" w:rsidP="00DB3E0D">
                  <w:pPr>
                    <w:rPr>
                      <w:sz w:val="20"/>
                      <w:szCs w:val="20"/>
                      <w:lang w:val="mk-MK"/>
                    </w:rPr>
                  </w:pPr>
                  <w:r w:rsidRPr="008476D5">
                    <w:rPr>
                      <w:sz w:val="20"/>
                      <w:szCs w:val="20"/>
                      <w:lang w:val="mk-MK"/>
                    </w:rPr>
                    <w:t>Извор:</w:t>
                  </w:r>
                </w:p>
              </w:txbxContent>
            </v:textbox>
          </v:shape>
        </w:pict>
      </w:r>
    </w:p>
    <w:p w:rsidR="00DB3E0D" w:rsidRPr="00B63768" w:rsidRDefault="00040D2C" w:rsidP="00DB3E0D">
      <w:pPr>
        <w:tabs>
          <w:tab w:val="left" w:pos="567"/>
          <w:tab w:val="left" w:pos="1959"/>
        </w:tabs>
        <w:rPr>
          <w:lang w:val="mk-MK"/>
        </w:rPr>
      </w:pPr>
      <w:r w:rsidRPr="00040D2C">
        <w:rPr>
          <w:lang w:val="mk-MK"/>
        </w:rPr>
        <w:pict>
          <v:shape id="_x0000_s1124" type="#_x0000_t202" style="position:absolute;left:0;text-align:left;margin-left:-225.75pt;margin-top:40.8pt;width:213.25pt;height:367.55pt;z-index:251749376" strokecolor="black [3213]">
            <v:textbox style="mso-next-textbox:#_x0000_s1124">
              <w:txbxContent>
                <w:p w:rsidR="006F63B5" w:rsidRDefault="006F63B5" w:rsidP="00DB3E0D">
                  <w:pPr>
                    <w:pStyle w:val="Caption"/>
                    <w:rPr>
                      <w:rFonts w:cs="Tahoma"/>
                      <w:lang w:val="mk-MK"/>
                    </w:rPr>
                  </w:pPr>
                  <w:r>
                    <w:t xml:space="preserve">Графикон бр. </w:t>
                  </w:r>
                  <w:fldSimple w:instr=" SEQ Графикон_бр. \* ARABIC ">
                    <w:r>
                      <w:rPr>
                        <w:noProof/>
                      </w:rPr>
                      <w:t>10</w:t>
                    </w:r>
                  </w:fldSimple>
                  <w:r>
                    <w:t xml:space="preserve"> </w:t>
                  </w:r>
                  <w:r>
                    <w:rPr>
                      <w:rFonts w:cs="Tahoma"/>
                      <w:lang w:val="mk-MK"/>
                    </w:rPr>
                    <w:t>Обврски (горе) кон и побарувања (долу) од нерезиденти</w:t>
                  </w:r>
                </w:p>
                <w:p w:rsidR="006F63B5" w:rsidRDefault="006F63B5" w:rsidP="00DB3E0D">
                  <w:pPr>
                    <w:pStyle w:val="Caption"/>
                    <w:rPr>
                      <w:noProof/>
                      <w:szCs w:val="18"/>
                      <w:lang w:val="mk-MK"/>
                    </w:rPr>
                  </w:pPr>
                  <w:r w:rsidRPr="00A748E1">
                    <w:rPr>
                      <w:noProof/>
                      <w:szCs w:val="18"/>
                    </w:rPr>
                    <w:drawing>
                      <wp:inline distT="0" distB="0" distL="0" distR="0">
                        <wp:extent cx="2508959" cy="3955312"/>
                        <wp:effectExtent l="19050" t="0" r="5641"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515870" cy="3966207"/>
                                </a:xfrm>
                                <a:prstGeom prst="rect">
                                  <a:avLst/>
                                </a:prstGeom>
                                <a:noFill/>
                                <a:ln w="9525">
                                  <a:noFill/>
                                  <a:miter lim="800000"/>
                                  <a:headEnd/>
                                  <a:tailEnd/>
                                </a:ln>
                              </pic:spPr>
                            </pic:pic>
                          </a:graphicData>
                        </a:graphic>
                      </wp:inline>
                    </w:drawing>
                  </w:r>
                </w:p>
                <w:p w:rsidR="006F63B5" w:rsidRPr="00A72927" w:rsidRDefault="006F63B5" w:rsidP="00DB3E0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DB3E0D">
                  <w:pPr>
                    <w:pStyle w:val="Caption"/>
                    <w:rPr>
                      <w:lang w:val="mk-MK"/>
                    </w:rPr>
                  </w:pPr>
                </w:p>
                <w:p w:rsidR="006F63B5" w:rsidRPr="00303B89" w:rsidRDefault="006F63B5" w:rsidP="00DB3E0D">
                  <w:pPr>
                    <w:rPr>
                      <w:lang w:val="mk-MK"/>
                    </w:rPr>
                  </w:pPr>
                </w:p>
                <w:p w:rsidR="006F63B5" w:rsidRPr="00303B89" w:rsidRDefault="006F63B5" w:rsidP="00DB3E0D">
                  <w:pPr>
                    <w:rPr>
                      <w:lang w:val="mk-MK"/>
                    </w:rPr>
                  </w:pPr>
                </w:p>
                <w:p w:rsidR="006F63B5" w:rsidRDefault="006F63B5" w:rsidP="00DB3E0D">
                  <w:pPr>
                    <w:pStyle w:val="Caption"/>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Default="006F63B5" w:rsidP="00DB3E0D">
                  <w:pPr>
                    <w:rPr>
                      <w:lang w:val="mk-MK"/>
                    </w:rPr>
                  </w:pPr>
                </w:p>
                <w:p w:rsidR="006F63B5" w:rsidRPr="008476D5" w:rsidRDefault="006F63B5" w:rsidP="00DB3E0D">
                  <w:pPr>
                    <w:rPr>
                      <w:sz w:val="20"/>
                      <w:szCs w:val="20"/>
                      <w:lang w:val="mk-MK"/>
                    </w:rPr>
                  </w:pPr>
                  <w:r w:rsidRPr="008476D5">
                    <w:rPr>
                      <w:sz w:val="20"/>
                      <w:szCs w:val="20"/>
                      <w:lang w:val="mk-MK"/>
                    </w:rPr>
                    <w:t>Извор:</w:t>
                  </w:r>
                </w:p>
              </w:txbxContent>
            </v:textbox>
          </v:shape>
        </w:pict>
      </w:r>
      <w:r w:rsidR="00DB3E0D" w:rsidRPr="00B63768">
        <w:rPr>
          <w:lang w:val="mk-MK"/>
        </w:rPr>
        <w:t xml:space="preserve">        Депозитите од банки</w:t>
      </w:r>
      <w:r w:rsidR="00167878">
        <w:rPr>
          <w:lang w:val="mk-MK"/>
        </w:rPr>
        <w:t>те</w:t>
      </w:r>
      <w:r w:rsidR="00DB3E0D" w:rsidRPr="00B63768">
        <w:rPr>
          <w:lang w:val="mk-MK"/>
        </w:rPr>
        <w:t xml:space="preserve"> и останати</w:t>
      </w:r>
      <w:r w:rsidR="00167878">
        <w:rPr>
          <w:lang w:val="mk-MK"/>
        </w:rPr>
        <w:t>те</w:t>
      </w:r>
      <w:r w:rsidR="00DB3E0D" w:rsidRPr="00B63768">
        <w:rPr>
          <w:lang w:val="mk-MK"/>
        </w:rPr>
        <w:t xml:space="preserve"> финансиски институции забележаа квартален раст од 307 милиони денари. Ваквиот раст беше условен од зголемувањето на депозитите на пензиските фондови и останатите финансиски друштва, при намалување на депозитите во странска валута на нерезиденти</w:t>
      </w:r>
      <w:r w:rsidR="00167878">
        <w:rPr>
          <w:lang w:val="mk-MK"/>
        </w:rPr>
        <w:t>те</w:t>
      </w:r>
      <w:r w:rsidR="00DB3E0D" w:rsidRPr="00B63768">
        <w:rPr>
          <w:lang w:val="mk-MK"/>
        </w:rPr>
        <w:t xml:space="preserve"> -</w:t>
      </w:r>
      <w:r w:rsidR="00167878">
        <w:rPr>
          <w:lang w:val="mk-MK"/>
        </w:rPr>
        <w:t xml:space="preserve"> </w:t>
      </w:r>
      <w:r w:rsidR="00DB3E0D" w:rsidRPr="00B63768">
        <w:rPr>
          <w:lang w:val="mk-MK"/>
        </w:rPr>
        <w:t xml:space="preserve">финансиски друштва. </w:t>
      </w:r>
    </w:p>
    <w:p w:rsidR="00DB3E0D" w:rsidRPr="00B63768" w:rsidRDefault="00DB3E0D" w:rsidP="00DB3E0D">
      <w:pPr>
        <w:tabs>
          <w:tab w:val="left" w:pos="1959"/>
        </w:tabs>
        <w:rPr>
          <w:lang w:val="mk-MK"/>
        </w:rPr>
      </w:pPr>
    </w:p>
    <w:p w:rsidR="002E6E2F" w:rsidRDefault="00DB3E0D">
      <w:pPr>
        <w:tabs>
          <w:tab w:val="left" w:pos="426"/>
          <w:tab w:val="left" w:pos="709"/>
          <w:tab w:val="left" w:pos="1959"/>
        </w:tabs>
        <w:rPr>
          <w:lang w:val="mk-MK"/>
        </w:rPr>
      </w:pPr>
      <w:r w:rsidRPr="00B63768">
        <w:rPr>
          <w:b/>
          <w:lang w:val="mk-MK"/>
        </w:rPr>
        <w:t xml:space="preserve">           </w:t>
      </w:r>
      <w:r w:rsidR="00167878">
        <w:rPr>
          <w:b/>
          <w:lang w:val="mk-MK"/>
        </w:rPr>
        <w:t>В</w:t>
      </w:r>
      <w:r w:rsidR="00167878" w:rsidRPr="00B63768">
        <w:rPr>
          <w:b/>
          <w:lang w:val="mk-MK"/>
        </w:rPr>
        <w:t>о првиот квартал од 2013 година</w:t>
      </w:r>
      <w:r w:rsidR="00167878">
        <w:rPr>
          <w:b/>
          <w:lang w:val="mk-MK"/>
        </w:rPr>
        <w:t>, у</w:t>
      </w:r>
      <w:r w:rsidRPr="00B63768">
        <w:rPr>
          <w:b/>
          <w:lang w:val="mk-MK"/>
        </w:rPr>
        <w:t>чеството на обврските на банките кон нерезиденти</w:t>
      </w:r>
      <w:r w:rsidR="00167878">
        <w:rPr>
          <w:b/>
          <w:lang w:val="mk-MK"/>
        </w:rPr>
        <w:t>те</w:t>
      </w:r>
      <w:r w:rsidRPr="00B63768">
        <w:rPr>
          <w:b/>
          <w:lang w:val="mk-MK"/>
        </w:rPr>
        <w:t xml:space="preserve"> </w:t>
      </w:r>
      <w:r w:rsidR="00167878">
        <w:rPr>
          <w:b/>
          <w:lang w:val="mk-MK"/>
        </w:rPr>
        <w:t>е</w:t>
      </w:r>
      <w:r w:rsidRPr="00B63768">
        <w:rPr>
          <w:b/>
          <w:lang w:val="mk-MK"/>
        </w:rPr>
        <w:t xml:space="preserve"> речиси непроменето.</w:t>
      </w:r>
      <w:r w:rsidR="00167878">
        <w:rPr>
          <w:lang w:val="mk-MK"/>
        </w:rPr>
        <w:t xml:space="preserve"> </w:t>
      </w:r>
      <w:r w:rsidRPr="00B63768">
        <w:rPr>
          <w:lang w:val="mk-MK"/>
        </w:rPr>
        <w:t xml:space="preserve">Обврските кон нерезидентите се зголемија за 630 милиони денари, или за 1,7%, </w:t>
      </w:r>
      <w:r w:rsidR="00167878">
        <w:rPr>
          <w:lang w:val="mk-MK"/>
        </w:rPr>
        <w:t xml:space="preserve">што </w:t>
      </w:r>
      <w:r w:rsidR="00A34407" w:rsidRPr="00B63768">
        <w:rPr>
          <w:lang w:val="mk-MK"/>
        </w:rPr>
        <w:t xml:space="preserve">целосно </w:t>
      </w:r>
      <w:r w:rsidR="00167878">
        <w:rPr>
          <w:lang w:val="mk-MK"/>
        </w:rPr>
        <w:t>произлегува</w:t>
      </w:r>
      <w:r w:rsidR="00A34407" w:rsidRPr="00B63768">
        <w:rPr>
          <w:lang w:val="mk-MK"/>
        </w:rPr>
        <w:t xml:space="preserve"> од растот на </w:t>
      </w:r>
      <w:r w:rsidRPr="00B63768">
        <w:rPr>
          <w:lang w:val="mk-MK"/>
        </w:rPr>
        <w:t xml:space="preserve">обврските </w:t>
      </w:r>
      <w:r w:rsidR="00167878">
        <w:rPr>
          <w:lang w:val="mk-MK"/>
        </w:rPr>
        <w:t>врз основа на</w:t>
      </w:r>
      <w:r w:rsidR="00167878" w:rsidRPr="00B63768">
        <w:rPr>
          <w:lang w:val="mk-MK"/>
        </w:rPr>
        <w:t xml:space="preserve"> </w:t>
      </w:r>
      <w:r w:rsidRPr="00B63768">
        <w:rPr>
          <w:lang w:val="mk-MK"/>
        </w:rPr>
        <w:t>долгорочни кредити во странска валута кон нерезиденти</w:t>
      </w:r>
      <w:r w:rsidR="00167878">
        <w:rPr>
          <w:lang w:val="mk-MK"/>
        </w:rPr>
        <w:t xml:space="preserve">те </w:t>
      </w:r>
      <w:r w:rsidRPr="00B63768">
        <w:rPr>
          <w:lang w:val="mk-MK"/>
        </w:rPr>
        <w:t>-</w:t>
      </w:r>
      <w:r w:rsidR="00167878">
        <w:rPr>
          <w:lang w:val="mk-MK"/>
        </w:rPr>
        <w:t xml:space="preserve"> </w:t>
      </w:r>
      <w:r w:rsidRPr="00B63768">
        <w:rPr>
          <w:lang w:val="mk-MK"/>
        </w:rPr>
        <w:t>финансиски друштва</w:t>
      </w:r>
      <w:r w:rsidR="0008057C" w:rsidRPr="00B63768">
        <w:rPr>
          <w:rStyle w:val="FootnoteReference"/>
          <w:lang w:val="mk-MK"/>
        </w:rPr>
        <w:footnoteReference w:id="11"/>
      </w:r>
      <w:r w:rsidRPr="00B63768">
        <w:rPr>
          <w:lang w:val="mk-MK"/>
        </w:rPr>
        <w:t xml:space="preserve">. </w:t>
      </w:r>
    </w:p>
    <w:p w:rsidR="00DB3E0D" w:rsidRPr="00B63768" w:rsidRDefault="00DB3E0D" w:rsidP="00DB3E0D">
      <w:pPr>
        <w:tabs>
          <w:tab w:val="left" w:pos="1959"/>
        </w:tabs>
        <w:rPr>
          <w:lang w:val="mk-MK"/>
        </w:rPr>
      </w:pPr>
    </w:p>
    <w:p w:rsidR="000C10D8" w:rsidRPr="00B63768" w:rsidRDefault="00DB3E0D" w:rsidP="000C10D8">
      <w:pPr>
        <w:tabs>
          <w:tab w:val="left" w:pos="567"/>
          <w:tab w:val="left" w:pos="709"/>
          <w:tab w:val="left" w:pos="851"/>
          <w:tab w:val="left" w:pos="1959"/>
        </w:tabs>
        <w:rPr>
          <w:b/>
          <w:lang w:val="mk-MK"/>
        </w:rPr>
      </w:pPr>
      <w:r w:rsidRPr="00B63768">
        <w:rPr>
          <w:lang w:val="mk-MK"/>
        </w:rPr>
        <w:t xml:space="preserve">          </w:t>
      </w:r>
      <w:r w:rsidRPr="00B63768">
        <w:rPr>
          <w:b/>
          <w:lang w:val="mk-MK"/>
        </w:rPr>
        <w:t xml:space="preserve">Побарувањата од нерезидентите </w:t>
      </w:r>
      <w:r w:rsidRPr="00B63768">
        <w:rPr>
          <w:lang w:val="mk-MK"/>
        </w:rPr>
        <w:t>забележаа квартално намалување од 497 милиони денари, или за 1,6%</w:t>
      </w:r>
      <w:r w:rsidR="00C0686D" w:rsidRPr="00B63768">
        <w:rPr>
          <w:lang w:val="mk-MK"/>
        </w:rPr>
        <w:t>, во најголем дел (</w:t>
      </w:r>
      <w:r w:rsidR="006D7435" w:rsidRPr="00B63768">
        <w:rPr>
          <w:lang w:val="mk-MK"/>
        </w:rPr>
        <w:t>92,1%</w:t>
      </w:r>
      <w:r w:rsidR="00C0686D" w:rsidRPr="00B63768">
        <w:rPr>
          <w:lang w:val="mk-MK"/>
        </w:rPr>
        <w:t>) како резултат на намалувањето на</w:t>
      </w:r>
      <w:r w:rsidRPr="00B63768">
        <w:rPr>
          <w:lang w:val="mk-MK"/>
        </w:rPr>
        <w:t xml:space="preserve"> пласманите кај странските банки за 457 милиони денари, или 1,5%.  </w:t>
      </w:r>
      <w:r w:rsidRPr="00B63768">
        <w:rPr>
          <w:b/>
          <w:lang w:val="mk-MK"/>
        </w:rPr>
        <w:t xml:space="preserve"> </w:t>
      </w:r>
    </w:p>
    <w:p w:rsidR="000C10D8" w:rsidRPr="00B63768" w:rsidRDefault="000C10D8" w:rsidP="000C10D8">
      <w:pPr>
        <w:tabs>
          <w:tab w:val="left" w:pos="567"/>
          <w:tab w:val="left" w:pos="709"/>
          <w:tab w:val="left" w:pos="851"/>
          <w:tab w:val="left" w:pos="1959"/>
        </w:tabs>
        <w:rPr>
          <w:b/>
          <w:lang w:val="mk-MK"/>
        </w:rPr>
      </w:pPr>
    </w:p>
    <w:p w:rsidR="001870F7" w:rsidRPr="00B63768" w:rsidRDefault="00E11010" w:rsidP="003B2315">
      <w:pPr>
        <w:pStyle w:val="Heading3"/>
      </w:pPr>
      <w:bookmarkStart w:id="11" w:name="_Toc362007052"/>
      <w:r w:rsidRPr="00B63768">
        <w:t>Кредити</w:t>
      </w:r>
      <w:r w:rsidR="001870F7" w:rsidRPr="00B63768">
        <w:t xml:space="preserve"> на </w:t>
      </w:r>
      <w:r w:rsidRPr="00B63768">
        <w:t>нефинансиските субјекти</w:t>
      </w:r>
      <w:bookmarkEnd w:id="11"/>
    </w:p>
    <w:p w:rsidR="00F432A9" w:rsidRPr="00B63768" w:rsidRDefault="00F432A9" w:rsidP="00F432A9">
      <w:pPr>
        <w:pStyle w:val="BodyTextFirstIndent"/>
        <w:ind w:firstLine="0"/>
        <w:rPr>
          <w:rFonts w:cs="Tahoma"/>
          <w:b/>
          <w:lang w:val="mk-MK"/>
        </w:rPr>
      </w:pPr>
    </w:p>
    <w:p w:rsidR="00F432A9" w:rsidRPr="00B63768" w:rsidRDefault="00F432A9" w:rsidP="00F432A9">
      <w:pPr>
        <w:ind w:firstLine="720"/>
        <w:rPr>
          <w:rFonts w:cs="Tahoma"/>
          <w:lang w:val="mk-MK"/>
        </w:rPr>
      </w:pPr>
      <w:r w:rsidRPr="00B63768">
        <w:rPr>
          <w:rFonts w:cs="Tahoma"/>
          <w:b/>
          <w:lang w:val="mk-MK"/>
        </w:rPr>
        <w:t xml:space="preserve">Во  првиот квартал од 2013 година, кредитната активност кон </w:t>
      </w:r>
      <w:r w:rsidRPr="00B63768">
        <w:rPr>
          <w:rFonts w:cs="Tahoma"/>
          <w:b/>
          <w:lang w:val="mk-MK"/>
        </w:rPr>
        <w:lastRenderedPageBreak/>
        <w:t>нефинансискиот сектор</w:t>
      </w:r>
      <w:r w:rsidR="00CD735B" w:rsidRPr="00B63768">
        <w:rPr>
          <w:rStyle w:val="FootnoteReference"/>
          <w:rFonts w:cs="Tahoma"/>
          <w:b/>
          <w:lang w:val="mk-MK"/>
        </w:rPr>
        <w:footnoteReference w:id="12"/>
      </w:r>
      <w:r w:rsidRPr="00B63768">
        <w:rPr>
          <w:rFonts w:cs="Tahoma"/>
          <w:b/>
          <w:lang w:val="mk-MK"/>
        </w:rPr>
        <w:t xml:space="preserve"> </w:t>
      </w:r>
      <w:r w:rsidR="0089528C">
        <w:rPr>
          <w:rFonts w:cs="Tahoma"/>
          <w:b/>
          <w:lang w:val="mk-MK"/>
        </w:rPr>
        <w:t>и натаму</w:t>
      </w:r>
      <w:r w:rsidRPr="00B63768">
        <w:rPr>
          <w:rFonts w:cs="Tahoma"/>
          <w:b/>
          <w:lang w:val="mk-MK"/>
        </w:rPr>
        <w:t xml:space="preserve"> се зголемува </w:t>
      </w:r>
      <w:r w:rsidR="0089528C">
        <w:rPr>
          <w:rFonts w:cs="Tahoma"/>
          <w:b/>
          <w:lang w:val="mk-MK"/>
        </w:rPr>
        <w:t>н</w:t>
      </w:r>
      <w:r w:rsidR="0089528C" w:rsidRPr="00B63768">
        <w:rPr>
          <w:rFonts w:cs="Tahoma"/>
          <w:b/>
          <w:lang w:val="mk-MK"/>
        </w:rPr>
        <w:t xml:space="preserve">о </w:t>
      </w:r>
      <w:r w:rsidRPr="00B63768">
        <w:rPr>
          <w:rFonts w:cs="Tahoma"/>
          <w:b/>
          <w:lang w:val="mk-MK"/>
        </w:rPr>
        <w:t>забавен</w:t>
      </w:r>
      <w:r w:rsidR="0089528C">
        <w:rPr>
          <w:rFonts w:cs="Tahoma"/>
          <w:b/>
          <w:lang w:val="mk-MK"/>
        </w:rPr>
        <w:t>о</w:t>
      </w:r>
      <w:r w:rsidRPr="00B63768">
        <w:rPr>
          <w:rStyle w:val="FootnoteReference"/>
          <w:rFonts w:cs="Tahoma"/>
          <w:b/>
          <w:lang w:val="mk-MK"/>
        </w:rPr>
        <w:footnoteReference w:id="13"/>
      </w:r>
      <w:r w:rsidRPr="00B63768">
        <w:rPr>
          <w:rFonts w:cs="Tahoma"/>
          <w:lang w:val="mk-MK"/>
        </w:rPr>
        <w:t xml:space="preserve">, што е одраз на </w:t>
      </w:r>
      <w:r w:rsidR="002706D7" w:rsidRPr="00B63768">
        <w:rPr>
          <w:rFonts w:cs="Tahoma"/>
          <w:lang w:val="mk-MK"/>
        </w:rPr>
        <w:t>веќе набројаните фактори поврзани со ризиците од меѓународното опкружување и од остварувањата на реалниот сектор, особено на претпријатијата</w:t>
      </w:r>
      <w:r w:rsidRPr="00B63768">
        <w:rPr>
          <w:rFonts w:cs="Tahoma"/>
          <w:lang w:val="mk-MK"/>
        </w:rPr>
        <w:t>. Гледано по одделни сектори</w:t>
      </w:r>
      <w:r w:rsidR="00D22DB7" w:rsidRPr="00B63768">
        <w:rPr>
          <w:rFonts w:cs="Tahoma"/>
          <w:lang w:val="mk-MK"/>
        </w:rPr>
        <w:t>,</w:t>
      </w:r>
      <w:r w:rsidRPr="00B63768">
        <w:rPr>
          <w:rFonts w:cs="Tahoma"/>
          <w:lang w:val="mk-MK"/>
        </w:rPr>
        <w:t xml:space="preserve"> носител на кредитниот раст се домаќинствата со придонес од 75,8%. Кредитната активност кон овој сегмент забележа зголемување за 870 милиони денари (1,1%), при што најкористен кредитен производ кај домаќинствата и понатаму се потрошувачките кредити (</w:t>
      </w:r>
      <w:r w:rsidR="004812D5" w:rsidRPr="00B63768">
        <w:rPr>
          <w:rFonts w:cs="Tahoma"/>
          <w:lang w:val="mk-MK"/>
        </w:rPr>
        <w:t>а</w:t>
      </w:r>
      <w:r w:rsidRPr="00B63768">
        <w:rPr>
          <w:rFonts w:cs="Tahoma"/>
          <w:lang w:val="mk-MK"/>
        </w:rPr>
        <w:t>некс бр</w:t>
      </w:r>
      <w:r w:rsidR="004812D5" w:rsidRPr="00B63768">
        <w:rPr>
          <w:rFonts w:cs="Tahoma"/>
          <w:lang w:val="mk-MK"/>
        </w:rPr>
        <w:t>. 15</w:t>
      </w:r>
      <w:r w:rsidRPr="00B63768">
        <w:rPr>
          <w:rFonts w:cs="Tahoma"/>
          <w:lang w:val="mk-MK"/>
        </w:rPr>
        <w:t>).</w:t>
      </w:r>
    </w:p>
    <w:p w:rsidR="00F432A9" w:rsidRPr="00B63768" w:rsidRDefault="00040D2C" w:rsidP="00F432A9">
      <w:pPr>
        <w:ind w:firstLine="720"/>
        <w:rPr>
          <w:rFonts w:cs="Tahoma"/>
          <w:b/>
          <w:lang w:val="mk-MK"/>
        </w:rPr>
      </w:pPr>
      <w:r w:rsidRPr="00040D2C">
        <w:rPr>
          <w:b/>
          <w:lang w:val="mk-MK"/>
        </w:rPr>
        <w:pict>
          <v:shape id="_x0000_s1100" type="#_x0000_t202" style="position:absolute;left:0;text-align:left;margin-left:-227.25pt;margin-top:-182.95pt;width:213.25pt;height:205.15pt;z-index:251735040" strokecolor="black [3213]">
            <v:textbox style="mso-next-textbox:#_x0000_s1100">
              <w:txbxContent>
                <w:p w:rsidR="006F63B5" w:rsidRPr="00CA341E" w:rsidRDefault="006F63B5" w:rsidP="00F432A9">
                  <w:pPr>
                    <w:pStyle w:val="Caption"/>
                    <w:rPr>
                      <w:rFonts w:cs="Tahoma"/>
                      <w:noProof/>
                    </w:rPr>
                  </w:pPr>
                  <w:r>
                    <w:t xml:space="preserve">Графикон бр. </w:t>
                  </w:r>
                  <w:fldSimple w:instr=" SEQ Графикон_бр. \* ARABIC ">
                    <w:r>
                      <w:rPr>
                        <w:noProof/>
                      </w:rPr>
                      <w:t>11</w:t>
                    </w:r>
                  </w:fldSimple>
                  <w:r>
                    <w:rPr>
                      <w:noProof/>
                    </w:rPr>
                    <w:t xml:space="preserve"> </w:t>
                  </w:r>
                  <w:r>
                    <w:rPr>
                      <w:noProof/>
                      <w:lang w:val="mk-MK"/>
                    </w:rPr>
                    <w:t>Состојба на кредитите</w:t>
                  </w:r>
                  <w:r>
                    <w:t xml:space="preserve"> </w:t>
                  </w:r>
                </w:p>
                <w:p w:rsidR="006F63B5" w:rsidRPr="00B16D7E" w:rsidRDefault="006F63B5" w:rsidP="00F432A9">
                  <w:pPr>
                    <w:rPr>
                      <w:lang w:val="mk-MK"/>
                    </w:rPr>
                  </w:pPr>
                  <w:r w:rsidRPr="000A298A">
                    <w:rPr>
                      <w:noProof/>
                    </w:rPr>
                    <w:drawing>
                      <wp:inline distT="0" distB="0" distL="0" distR="0">
                        <wp:extent cx="2458502" cy="1923691"/>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472581" cy="1934707"/>
                                </a:xfrm>
                                <a:prstGeom prst="rect">
                                  <a:avLst/>
                                </a:prstGeom>
                                <a:noFill/>
                                <a:ln w="9525">
                                  <a:noFill/>
                                  <a:miter lim="800000"/>
                                  <a:headEnd/>
                                  <a:tailEnd/>
                                </a:ln>
                              </pic:spPr>
                            </pic:pic>
                          </a:graphicData>
                        </a:graphic>
                      </wp:inline>
                    </w:drawing>
                  </w:r>
                </w:p>
                <w:p w:rsidR="006F63B5" w:rsidRPr="00A72927" w:rsidRDefault="006F63B5" w:rsidP="00F432A9">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F432A9">
                  <w:pPr>
                    <w:pStyle w:val="Caption"/>
                    <w:rPr>
                      <w:lang w:val="mk-MK"/>
                    </w:rPr>
                  </w:pPr>
                </w:p>
                <w:p w:rsidR="006F63B5" w:rsidRPr="00303B89" w:rsidRDefault="006F63B5" w:rsidP="00F432A9">
                  <w:pPr>
                    <w:rPr>
                      <w:lang w:val="mk-MK"/>
                    </w:rPr>
                  </w:pPr>
                </w:p>
                <w:p w:rsidR="006F63B5" w:rsidRPr="00303B89" w:rsidRDefault="006F63B5" w:rsidP="00F432A9">
                  <w:pPr>
                    <w:rPr>
                      <w:lang w:val="mk-MK"/>
                    </w:rPr>
                  </w:pPr>
                </w:p>
                <w:p w:rsidR="006F63B5" w:rsidRDefault="006F63B5" w:rsidP="00F432A9">
                  <w:pPr>
                    <w:pStyle w:val="Caption"/>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Pr="008476D5" w:rsidRDefault="006F63B5" w:rsidP="00F432A9">
                  <w:pPr>
                    <w:rPr>
                      <w:sz w:val="20"/>
                      <w:szCs w:val="20"/>
                      <w:lang w:val="mk-MK"/>
                    </w:rPr>
                  </w:pPr>
                  <w:r w:rsidRPr="008476D5">
                    <w:rPr>
                      <w:sz w:val="20"/>
                      <w:szCs w:val="20"/>
                      <w:lang w:val="mk-MK"/>
                    </w:rPr>
                    <w:t>Извор:</w:t>
                  </w:r>
                </w:p>
              </w:txbxContent>
            </v:textbox>
          </v:shape>
        </w:pict>
      </w:r>
    </w:p>
    <w:p w:rsidR="00F432A9" w:rsidRPr="00B63768" w:rsidRDefault="00040D2C" w:rsidP="00F432A9">
      <w:pPr>
        <w:ind w:firstLine="720"/>
        <w:rPr>
          <w:rFonts w:cs="Tahoma"/>
          <w:lang w:val="mk-MK"/>
        </w:rPr>
      </w:pPr>
      <w:r w:rsidRPr="00040D2C">
        <w:rPr>
          <w:rFonts w:cs="Tahoma"/>
          <w:b/>
          <w:lang w:val="mk-MK"/>
        </w:rPr>
        <w:pict>
          <v:shape id="_x0000_s1098" type="#_x0000_t202" style="position:absolute;left:0;text-align:left;margin-left:-227.25pt;margin-top:12.95pt;width:213.25pt;height:337.4pt;z-index:251732992" strokecolor="black [3213]">
            <v:textbox style="mso-next-textbox:#_x0000_s1098">
              <w:txbxContent>
                <w:p w:rsidR="006F63B5" w:rsidRDefault="006F63B5" w:rsidP="00F432A9">
                  <w:pPr>
                    <w:pStyle w:val="Caption"/>
                    <w:rPr>
                      <w:rFonts w:cs="Tahoma"/>
                      <w:noProof/>
                      <w:lang w:val="mk-MK"/>
                    </w:rPr>
                  </w:pPr>
                  <w:bookmarkStart w:id="12" w:name="_Toc337029068"/>
                  <w:r>
                    <w:t xml:space="preserve">Графикон бр. </w:t>
                  </w:r>
                  <w:fldSimple w:instr=" SEQ Графикон_бр. \* ARABIC ">
                    <w:r>
                      <w:rPr>
                        <w:noProof/>
                      </w:rPr>
                      <w:t>12</w:t>
                    </w:r>
                  </w:fldSimple>
                  <w:r>
                    <w:t xml:space="preserve"> </w:t>
                  </w:r>
                  <w:bookmarkEnd w:id="12"/>
                  <w:r>
                    <w:rPr>
                      <w:rFonts w:cs="Tahoma"/>
                      <w:lang w:val="mk-MK"/>
                    </w:rPr>
                    <w:t>Квартална (горе) и годишна (долу) промена на кредитите на нефинансиските субјекти</w:t>
                  </w:r>
                </w:p>
                <w:p w:rsidR="006F63B5" w:rsidRPr="00B16D7E" w:rsidRDefault="006F63B5" w:rsidP="00F432A9">
                  <w:pPr>
                    <w:rPr>
                      <w:lang w:val="mk-MK"/>
                    </w:rPr>
                  </w:pPr>
                  <w:r w:rsidRPr="000A298A">
                    <w:rPr>
                      <w:noProof/>
                    </w:rPr>
                    <w:drawing>
                      <wp:inline distT="0" distB="0" distL="0" distR="0">
                        <wp:extent cx="2448104" cy="3300815"/>
                        <wp:effectExtent l="19050" t="0" r="9346"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458862" cy="3315320"/>
                                </a:xfrm>
                                <a:prstGeom prst="rect">
                                  <a:avLst/>
                                </a:prstGeom>
                                <a:noFill/>
                                <a:ln w="9525">
                                  <a:noFill/>
                                  <a:miter lim="800000"/>
                                  <a:headEnd/>
                                  <a:tailEnd/>
                                </a:ln>
                              </pic:spPr>
                            </pic:pic>
                          </a:graphicData>
                        </a:graphic>
                      </wp:inline>
                    </w:drawing>
                  </w:r>
                </w:p>
                <w:p w:rsidR="006F63B5" w:rsidRPr="00A72927" w:rsidRDefault="006F63B5" w:rsidP="00F432A9">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F432A9">
                  <w:pPr>
                    <w:pStyle w:val="Caption"/>
                    <w:rPr>
                      <w:lang w:val="mk-MK"/>
                    </w:rPr>
                  </w:pPr>
                </w:p>
                <w:p w:rsidR="006F63B5" w:rsidRPr="00303B89" w:rsidRDefault="006F63B5" w:rsidP="00F432A9">
                  <w:pPr>
                    <w:rPr>
                      <w:lang w:val="mk-MK"/>
                    </w:rPr>
                  </w:pPr>
                </w:p>
                <w:p w:rsidR="006F63B5" w:rsidRPr="00303B89" w:rsidRDefault="006F63B5" w:rsidP="00F432A9">
                  <w:pPr>
                    <w:rPr>
                      <w:lang w:val="mk-MK"/>
                    </w:rPr>
                  </w:pPr>
                </w:p>
                <w:p w:rsidR="006F63B5" w:rsidRDefault="006F63B5" w:rsidP="00F432A9">
                  <w:pPr>
                    <w:pStyle w:val="Caption"/>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Default="006F63B5" w:rsidP="00F432A9">
                  <w:pPr>
                    <w:rPr>
                      <w:lang w:val="mk-MK"/>
                    </w:rPr>
                  </w:pPr>
                </w:p>
                <w:p w:rsidR="006F63B5" w:rsidRPr="008476D5" w:rsidRDefault="006F63B5" w:rsidP="00F432A9">
                  <w:pPr>
                    <w:rPr>
                      <w:sz w:val="20"/>
                      <w:szCs w:val="20"/>
                      <w:lang w:val="mk-MK"/>
                    </w:rPr>
                  </w:pPr>
                  <w:r w:rsidRPr="008476D5">
                    <w:rPr>
                      <w:sz w:val="20"/>
                      <w:szCs w:val="20"/>
                      <w:lang w:val="mk-MK"/>
                    </w:rPr>
                    <w:t>Извор:</w:t>
                  </w:r>
                </w:p>
              </w:txbxContent>
            </v:textbox>
          </v:shape>
        </w:pict>
      </w:r>
      <w:r w:rsidR="00F432A9" w:rsidRPr="00B63768">
        <w:rPr>
          <w:rFonts w:cs="Tahoma"/>
          <w:b/>
          <w:lang w:val="mk-MK"/>
        </w:rPr>
        <w:t xml:space="preserve">Растот на кредитите кон претпријатијата изнесуваше 0,5% (квартално зголемување за 0,4 процентни поени). </w:t>
      </w:r>
      <w:r w:rsidR="00F432A9" w:rsidRPr="00B63768">
        <w:rPr>
          <w:rFonts w:cs="Tahoma"/>
          <w:lang w:val="mk-MK"/>
        </w:rPr>
        <w:t xml:space="preserve">Дејностите „трговија на големо и мало“ </w:t>
      </w:r>
      <w:r w:rsidR="002706D7" w:rsidRPr="00B63768">
        <w:rPr>
          <w:rFonts w:cs="Tahoma"/>
          <w:lang w:val="mk-MK"/>
        </w:rPr>
        <w:t xml:space="preserve">и </w:t>
      </w:r>
      <w:r w:rsidR="00F432A9" w:rsidRPr="00B63768">
        <w:rPr>
          <w:rFonts w:cs="Tahoma"/>
          <w:lang w:val="mk-MK"/>
        </w:rPr>
        <w:t>„производство на метали, машини</w:t>
      </w:r>
      <w:r w:rsidR="002706D7" w:rsidRPr="00B63768">
        <w:rPr>
          <w:rFonts w:cs="Tahoma"/>
          <w:lang w:val="mk-MK"/>
        </w:rPr>
        <w:t>, алати</w:t>
      </w:r>
      <w:r w:rsidR="00F432A9" w:rsidRPr="00B63768">
        <w:rPr>
          <w:rFonts w:cs="Tahoma"/>
          <w:lang w:val="mk-MK"/>
        </w:rPr>
        <w:t xml:space="preserve"> и опрема“</w:t>
      </w:r>
      <w:r w:rsidR="002706D7" w:rsidRPr="00B63768">
        <w:rPr>
          <w:rFonts w:cs="Tahoma"/>
          <w:lang w:val="mk-MK"/>
        </w:rPr>
        <w:t xml:space="preserve"> </w:t>
      </w:r>
      <w:r w:rsidR="00F432A9" w:rsidRPr="00B63768">
        <w:rPr>
          <w:rFonts w:cs="Tahoma"/>
          <w:lang w:val="mk-MK"/>
        </w:rPr>
        <w:t xml:space="preserve">имаат најголем придонес во кварталниот раст на </w:t>
      </w:r>
      <w:r w:rsidR="00B54B10" w:rsidRPr="00B63768">
        <w:rPr>
          <w:rFonts w:cs="Tahoma"/>
          <w:lang w:val="mk-MK"/>
        </w:rPr>
        <w:t>кредитите</w:t>
      </w:r>
      <w:r w:rsidR="00F432A9" w:rsidRPr="00B63768">
        <w:rPr>
          <w:rFonts w:cs="Tahoma"/>
          <w:lang w:val="mk-MK"/>
        </w:rPr>
        <w:t xml:space="preserve"> н</w:t>
      </w:r>
      <w:r w:rsidR="00B54B10" w:rsidRPr="00B63768">
        <w:rPr>
          <w:rFonts w:cs="Tahoma"/>
          <w:lang w:val="mk-MK"/>
        </w:rPr>
        <w:t>а</w:t>
      </w:r>
      <w:r w:rsidR="00F432A9" w:rsidRPr="00B63768">
        <w:rPr>
          <w:rFonts w:cs="Tahoma"/>
          <w:lang w:val="mk-MK"/>
        </w:rPr>
        <w:t xml:space="preserve"> претпријатијата и другите клиенти (</w:t>
      </w:r>
      <w:r w:rsidR="004812D5" w:rsidRPr="00B63768">
        <w:rPr>
          <w:rFonts w:cs="Tahoma"/>
          <w:lang w:val="mk-MK"/>
        </w:rPr>
        <w:t xml:space="preserve">анекс </w:t>
      </w:r>
      <w:r w:rsidR="00F432A9" w:rsidRPr="00B63768">
        <w:rPr>
          <w:rFonts w:cs="Tahoma"/>
          <w:lang w:val="mk-MK"/>
        </w:rPr>
        <w:t>бр.</w:t>
      </w:r>
      <w:r w:rsidR="008E2B38">
        <w:rPr>
          <w:rFonts w:cs="Tahoma"/>
          <w:lang w:val="mk-MK"/>
        </w:rPr>
        <w:t xml:space="preserve"> </w:t>
      </w:r>
      <w:r w:rsidR="004812D5" w:rsidRPr="00B63768">
        <w:rPr>
          <w:rFonts w:cs="Tahoma"/>
          <w:lang w:val="mk-MK"/>
        </w:rPr>
        <w:t>15</w:t>
      </w:r>
      <w:r w:rsidR="00F432A9" w:rsidRPr="00B63768">
        <w:rPr>
          <w:rFonts w:cs="Tahoma"/>
          <w:lang w:val="mk-MK"/>
        </w:rPr>
        <w:t xml:space="preserve">).  </w:t>
      </w:r>
    </w:p>
    <w:p w:rsidR="00F432A9" w:rsidRPr="00B63768" w:rsidRDefault="00F432A9" w:rsidP="00F432A9">
      <w:pPr>
        <w:ind w:firstLine="720"/>
        <w:rPr>
          <w:rFonts w:cs="Tahoma"/>
          <w:lang w:val="mk-MK"/>
        </w:rPr>
      </w:pPr>
    </w:p>
    <w:p w:rsidR="00F432A9" w:rsidRPr="00B63768" w:rsidRDefault="00F432A9" w:rsidP="00F432A9">
      <w:pPr>
        <w:ind w:firstLine="720"/>
        <w:rPr>
          <w:rFonts w:cs="Tahoma"/>
          <w:b/>
          <w:lang w:val="mk-MK"/>
        </w:rPr>
      </w:pPr>
      <w:r w:rsidRPr="00B63768">
        <w:rPr>
          <w:rFonts w:cs="Tahoma"/>
          <w:b/>
          <w:lang w:val="mk-MK"/>
        </w:rPr>
        <w:t>Во првиот квартал од 2013 година, денарските кредити целосно го условија вкупниот кредитен раст</w:t>
      </w:r>
      <w:r w:rsidRPr="00B63768">
        <w:rPr>
          <w:rFonts w:cs="Tahoma"/>
          <w:lang w:val="mk-MK"/>
        </w:rPr>
        <w:t>.</w:t>
      </w:r>
      <w:r w:rsidRPr="00B63768">
        <w:rPr>
          <w:rFonts w:cs="Tahoma"/>
          <w:b/>
          <w:lang w:val="mk-MK"/>
        </w:rPr>
        <w:t xml:space="preserve"> </w:t>
      </w:r>
      <w:r w:rsidRPr="00B63768">
        <w:rPr>
          <w:rFonts w:cs="Tahoma"/>
          <w:lang w:val="mk-MK"/>
        </w:rPr>
        <w:t xml:space="preserve">Тие забележаа раст од 1.307 милиони денари (1,4%), во кој придонесот на претпријатијата изнесуваше 87,5%, а придонесот на домаќинствата беше 17,9%. И девизните кредити остварија квартален раст од 305 милиони денари, но </w:t>
      </w:r>
      <w:r w:rsidR="00E33E7E">
        <w:rPr>
          <w:rFonts w:cs="Tahoma"/>
          <w:lang w:val="mk-MK"/>
        </w:rPr>
        <w:t xml:space="preserve">поради </w:t>
      </w:r>
      <w:r w:rsidRPr="00B63768">
        <w:rPr>
          <w:rFonts w:cs="Tahoma"/>
          <w:lang w:val="mk-MK"/>
        </w:rPr>
        <w:t xml:space="preserve">повисокото намалување на кредитите во денари со девизна клаузула од 429 милиони денари, кредитите со валутна компонента имаат негативен придонес во вкупниот кредитен раст. Намалувањето на денарските кредити со девизна клаузула во целост се должи на секторот </w:t>
      </w:r>
      <w:r w:rsidR="00E33E7E">
        <w:rPr>
          <w:rFonts w:cs="Tahoma"/>
          <w:lang w:val="mk-MK"/>
        </w:rPr>
        <w:t>„</w:t>
      </w:r>
      <w:r w:rsidRPr="00B63768">
        <w:rPr>
          <w:rFonts w:cs="Tahoma"/>
          <w:lang w:val="mk-MK"/>
        </w:rPr>
        <w:t>претпријатија</w:t>
      </w:r>
      <w:r w:rsidR="00E33E7E">
        <w:rPr>
          <w:rFonts w:cs="Tahoma"/>
          <w:lang w:val="mk-MK"/>
        </w:rPr>
        <w:t>“</w:t>
      </w:r>
      <w:r w:rsidRPr="00B63768">
        <w:rPr>
          <w:rFonts w:cs="Tahoma"/>
          <w:lang w:val="mk-MK"/>
        </w:rPr>
        <w:t xml:space="preserve">, </w:t>
      </w:r>
      <w:r w:rsidRPr="00B63768">
        <w:rPr>
          <w:rFonts w:cs="Tahoma"/>
          <w:lang w:val="mk-MK"/>
        </w:rPr>
        <w:lastRenderedPageBreak/>
        <w:t xml:space="preserve">што </w:t>
      </w:r>
      <w:r w:rsidR="00E33E7E">
        <w:rPr>
          <w:rFonts w:cs="Tahoma"/>
          <w:lang w:val="mk-MK"/>
        </w:rPr>
        <w:t>доведе д</w:t>
      </w:r>
      <w:r w:rsidRPr="00B63768">
        <w:rPr>
          <w:rFonts w:cs="Tahoma"/>
          <w:lang w:val="mk-MK"/>
        </w:rPr>
        <w:t>о помал раст на кредитите на овој сектор во однос на растот на кредитите на домаќинствата (</w:t>
      </w:r>
      <w:r w:rsidR="004812D5" w:rsidRPr="00B63768">
        <w:rPr>
          <w:rFonts w:cs="Tahoma"/>
          <w:lang w:val="mk-MK"/>
        </w:rPr>
        <w:t>а</w:t>
      </w:r>
      <w:r w:rsidRPr="00B63768">
        <w:rPr>
          <w:rFonts w:cs="Tahoma"/>
          <w:lang w:val="mk-MK"/>
        </w:rPr>
        <w:t>некс</w:t>
      </w:r>
      <w:r w:rsidR="004812D5" w:rsidRPr="00B63768">
        <w:rPr>
          <w:rFonts w:cs="Tahoma"/>
          <w:lang w:val="mk-MK"/>
        </w:rPr>
        <w:t>и</w:t>
      </w:r>
      <w:r w:rsidRPr="00B63768">
        <w:rPr>
          <w:rFonts w:cs="Tahoma"/>
          <w:lang w:val="mk-MK"/>
        </w:rPr>
        <w:t xml:space="preserve"> бр.</w:t>
      </w:r>
      <w:r w:rsidR="004812D5" w:rsidRPr="00B63768">
        <w:rPr>
          <w:rFonts w:cs="Tahoma"/>
          <w:lang w:val="mk-MK"/>
        </w:rPr>
        <w:t xml:space="preserve"> 5 и 7</w:t>
      </w:r>
      <w:r w:rsidRPr="00B63768">
        <w:rPr>
          <w:rFonts w:cs="Tahoma"/>
          <w:lang w:val="mk-MK"/>
        </w:rPr>
        <w:t xml:space="preserve">). </w:t>
      </w:r>
    </w:p>
    <w:p w:rsidR="00E800DC" w:rsidRPr="00B63768" w:rsidRDefault="00E800DC" w:rsidP="00E800DC">
      <w:pPr>
        <w:ind w:firstLine="720"/>
        <w:rPr>
          <w:rFonts w:cs="Tahoma"/>
          <w:lang w:val="mk-MK"/>
        </w:rPr>
      </w:pPr>
    </w:p>
    <w:p w:rsidR="00E800DC" w:rsidRPr="00B63768" w:rsidRDefault="00E800DC" w:rsidP="00E800DC">
      <w:pPr>
        <w:ind w:firstLine="720"/>
        <w:rPr>
          <w:rFonts w:cs="Tahoma"/>
          <w:lang w:val="mk-MK"/>
        </w:rPr>
      </w:pPr>
      <w:r w:rsidRPr="00B63768">
        <w:rPr>
          <w:rFonts w:cs="Tahoma"/>
          <w:b/>
          <w:lang w:val="mk-MK"/>
        </w:rPr>
        <w:t xml:space="preserve">Од аспект на рочноста, долгорочните кредити </w:t>
      </w:r>
      <w:r w:rsidR="00E33E7E">
        <w:rPr>
          <w:rFonts w:cs="Tahoma"/>
          <w:b/>
          <w:lang w:val="mk-MK"/>
        </w:rPr>
        <w:t>и натаму се</w:t>
      </w:r>
      <w:r w:rsidR="00E33E7E" w:rsidRPr="00B63768">
        <w:rPr>
          <w:rFonts w:cs="Tahoma"/>
          <w:b/>
          <w:lang w:val="mk-MK"/>
        </w:rPr>
        <w:t xml:space="preserve"> </w:t>
      </w:r>
      <w:r w:rsidRPr="00B63768">
        <w:rPr>
          <w:rFonts w:cs="Tahoma"/>
          <w:b/>
          <w:lang w:val="mk-MK"/>
        </w:rPr>
        <w:t>најзастапени</w:t>
      </w:r>
      <w:r w:rsidRPr="00B63768">
        <w:rPr>
          <w:rFonts w:cs="Tahoma"/>
          <w:lang w:val="mk-MK"/>
        </w:rPr>
        <w:t xml:space="preserve"> во структурата на кредитите на нефинансиските субјекти</w:t>
      </w:r>
      <w:r w:rsidR="00E33E7E">
        <w:rPr>
          <w:rFonts w:cs="Tahoma"/>
          <w:lang w:val="mk-MK"/>
        </w:rPr>
        <w:t>,</w:t>
      </w:r>
      <w:r w:rsidRPr="00B63768">
        <w:rPr>
          <w:rFonts w:cs="Tahoma"/>
          <w:lang w:val="mk-MK"/>
        </w:rPr>
        <w:t xml:space="preserve"> и покрај нивното намалување коешто целосно </w:t>
      </w:r>
      <w:r w:rsidR="00E33E7E">
        <w:rPr>
          <w:rFonts w:cs="Tahoma"/>
          <w:lang w:val="mk-MK"/>
        </w:rPr>
        <w:t xml:space="preserve">се должи на </w:t>
      </w:r>
      <w:r w:rsidRPr="00B63768">
        <w:rPr>
          <w:rFonts w:cs="Tahoma"/>
          <w:lang w:val="mk-MK"/>
        </w:rPr>
        <w:t xml:space="preserve">денарските кредити со девизна клаузула на претпријатијата (анекс бр. 5). </w:t>
      </w:r>
    </w:p>
    <w:p w:rsidR="00DB3E0D" w:rsidRPr="00B63768" w:rsidRDefault="00040D2C" w:rsidP="00F432A9">
      <w:pPr>
        <w:ind w:firstLine="720"/>
        <w:rPr>
          <w:rFonts w:cs="Tahoma"/>
          <w:lang w:val="mk-MK"/>
        </w:rPr>
      </w:pPr>
      <w:r w:rsidRPr="00040D2C">
        <w:rPr>
          <w:lang w:val="mk-MK"/>
        </w:rPr>
        <w:pict>
          <v:shape id="_x0000_s1099" type="#_x0000_t202" style="position:absolute;left:0;text-align:left;margin-left:-225.4pt;margin-top:7.8pt;width:473.6pt;height:225.8pt;z-index:251734016">
            <v:textbox>
              <w:txbxContent>
                <w:p w:rsidR="006F63B5" w:rsidRDefault="006F63B5" w:rsidP="00F432A9">
                  <w:pPr>
                    <w:pStyle w:val="Caption"/>
                    <w:rPr>
                      <w:rFonts w:cs="Tahoma"/>
                      <w:noProof/>
                      <w:lang w:val="mk-MK"/>
                    </w:rPr>
                  </w:pPr>
                  <w:r>
                    <w:t xml:space="preserve">Графикон бр. </w:t>
                  </w:r>
                  <w:fldSimple w:instr=" SEQ Графикон_бр. \* ARABIC ">
                    <w:r>
                      <w:rPr>
                        <w:noProof/>
                      </w:rPr>
                      <w:t>13</w:t>
                    </w:r>
                  </w:fldSimple>
                  <w:r>
                    <w:t xml:space="preserve"> </w:t>
                  </w:r>
                  <w:r>
                    <w:rPr>
                      <w:rFonts w:cs="Tahoma"/>
                      <w:lang w:val="mk-MK"/>
                    </w:rPr>
                    <w:t>Структура на кредитите според секторот, валутата и рочноста</w:t>
                  </w:r>
                </w:p>
                <w:p w:rsidR="006F63B5" w:rsidRDefault="006F63B5" w:rsidP="00F432A9">
                  <w:pPr>
                    <w:pStyle w:val="Caption"/>
                    <w:rPr>
                      <w:b w:val="0"/>
                      <w:sz w:val="18"/>
                      <w:szCs w:val="18"/>
                    </w:rPr>
                  </w:pPr>
                  <w:r w:rsidRPr="000A298A">
                    <w:rPr>
                      <w:noProof/>
                      <w:szCs w:val="18"/>
                    </w:rPr>
                    <w:drawing>
                      <wp:inline distT="0" distB="0" distL="0" distR="0">
                        <wp:extent cx="5839490" cy="2419522"/>
                        <wp:effectExtent l="19050" t="0" r="886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843470" cy="2421171"/>
                                </a:xfrm>
                                <a:prstGeom prst="rect">
                                  <a:avLst/>
                                </a:prstGeom>
                                <a:noFill/>
                                <a:ln w="9525">
                                  <a:noFill/>
                                  <a:miter lim="800000"/>
                                  <a:headEnd/>
                                  <a:tailEnd/>
                                </a:ln>
                              </pic:spPr>
                            </pic:pic>
                          </a:graphicData>
                        </a:graphic>
                      </wp:inline>
                    </w:drawing>
                  </w:r>
                </w:p>
                <w:p w:rsidR="006F63B5" w:rsidRPr="00A72927" w:rsidRDefault="006F63B5" w:rsidP="00F432A9">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Default="006F63B5" w:rsidP="00F432A9"/>
              </w:txbxContent>
            </v:textbox>
          </v:shape>
        </w:pict>
      </w:r>
    </w:p>
    <w:p w:rsidR="002706D7" w:rsidRPr="00B63768" w:rsidRDefault="002706D7" w:rsidP="00F432A9">
      <w:pPr>
        <w:ind w:firstLine="720"/>
        <w:rPr>
          <w:rFonts w:cs="Tahoma"/>
          <w:lang w:val="mk-MK"/>
        </w:rPr>
      </w:pPr>
    </w:p>
    <w:p w:rsidR="002706D7" w:rsidRPr="00B63768" w:rsidRDefault="002706D7" w:rsidP="00F432A9">
      <w:pPr>
        <w:ind w:firstLine="720"/>
        <w:rPr>
          <w:rFonts w:cs="Tahoma"/>
          <w:lang w:val="mk-MK"/>
        </w:rPr>
      </w:pPr>
    </w:p>
    <w:p w:rsidR="002706D7" w:rsidRPr="00B63768" w:rsidRDefault="002706D7" w:rsidP="00F432A9">
      <w:pPr>
        <w:ind w:firstLine="720"/>
        <w:rPr>
          <w:rFonts w:cs="Tahoma"/>
          <w:lang w:val="mk-MK"/>
        </w:rPr>
      </w:pPr>
    </w:p>
    <w:p w:rsidR="002706D7" w:rsidRPr="00B63768" w:rsidRDefault="002706D7" w:rsidP="00F432A9">
      <w:pPr>
        <w:ind w:firstLine="720"/>
        <w:rPr>
          <w:rFonts w:cs="Tahoma"/>
          <w:lang w:val="mk-MK"/>
        </w:rPr>
      </w:pPr>
    </w:p>
    <w:p w:rsidR="00DB3E0D" w:rsidRPr="00B63768" w:rsidRDefault="00DB3E0D"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E800DC" w:rsidRPr="00B63768" w:rsidRDefault="00E800DC"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F432A9" w:rsidRPr="00B63768" w:rsidRDefault="00F432A9" w:rsidP="00F432A9">
      <w:pPr>
        <w:ind w:firstLine="720"/>
        <w:rPr>
          <w:rFonts w:cs="Tahoma"/>
          <w:lang w:val="mk-MK"/>
        </w:rPr>
      </w:pPr>
    </w:p>
    <w:p w:rsidR="001870F7" w:rsidRPr="00B63768" w:rsidRDefault="00040D2C" w:rsidP="003B2315">
      <w:pPr>
        <w:pStyle w:val="Heading3"/>
      </w:pPr>
      <w:bookmarkStart w:id="13" w:name="_Toc362007053"/>
      <w:r w:rsidRPr="00040D2C">
        <w:rPr>
          <w:b w:val="0"/>
        </w:rPr>
        <w:pict>
          <v:shape id="_x0000_s1115" type="#_x0000_t202" style="position:absolute;left:0;text-align:left;margin-left:-223.9pt;margin-top:2.85pt;width:205.35pt;height:205.15pt;z-index:251741184" strokecolor="black [3213]">
            <v:textbox style="mso-next-textbox:#_x0000_s1115">
              <w:txbxContent>
                <w:p w:rsidR="006F63B5" w:rsidRPr="00CA341E" w:rsidRDefault="006F63B5" w:rsidP="00B07E7D">
                  <w:pPr>
                    <w:pStyle w:val="Caption"/>
                    <w:rPr>
                      <w:rFonts w:cs="Tahoma"/>
                      <w:noProof/>
                    </w:rPr>
                  </w:pPr>
                  <w:r>
                    <w:t xml:space="preserve">Графикон бр. </w:t>
                  </w:r>
                  <w:fldSimple w:instr=" SEQ Графикон_бр. \* ARABIC ">
                    <w:r>
                      <w:rPr>
                        <w:noProof/>
                      </w:rPr>
                      <w:t>14</w:t>
                    </w:r>
                  </w:fldSimple>
                  <w:r>
                    <w:rPr>
                      <w:noProof/>
                    </w:rPr>
                    <w:t xml:space="preserve"> </w:t>
                  </w:r>
                  <w:r>
                    <w:rPr>
                      <w:noProof/>
                      <w:lang w:val="mk-MK"/>
                    </w:rPr>
                    <w:t>Состојба на депозитите</w:t>
                  </w:r>
                  <w:r>
                    <w:t xml:space="preserve"> </w:t>
                  </w:r>
                </w:p>
                <w:p w:rsidR="006F63B5" w:rsidRPr="00B16D7E" w:rsidRDefault="006F63B5" w:rsidP="00B07E7D">
                  <w:pPr>
                    <w:rPr>
                      <w:lang w:val="mk-MK"/>
                    </w:rPr>
                  </w:pPr>
                  <w:r w:rsidRPr="00CA341E">
                    <w:rPr>
                      <w:noProof/>
                    </w:rPr>
                    <w:drawing>
                      <wp:inline distT="0" distB="0" distL="0" distR="0">
                        <wp:extent cx="2408821" cy="1892595"/>
                        <wp:effectExtent l="1905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415540" cy="1897874"/>
                                </a:xfrm>
                                <a:prstGeom prst="rect">
                                  <a:avLst/>
                                </a:prstGeom>
                                <a:noFill/>
                                <a:ln w="9525">
                                  <a:noFill/>
                                  <a:miter lim="800000"/>
                                  <a:headEnd/>
                                  <a:tailEnd/>
                                </a:ln>
                              </pic:spPr>
                            </pic:pic>
                          </a:graphicData>
                        </a:graphic>
                      </wp:inline>
                    </w:drawing>
                  </w:r>
                </w:p>
                <w:p w:rsidR="006F63B5" w:rsidRPr="00A72927" w:rsidRDefault="006F63B5" w:rsidP="00B07E7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B07E7D">
                  <w:pPr>
                    <w:pStyle w:val="Caption"/>
                    <w:rPr>
                      <w:lang w:val="mk-MK"/>
                    </w:rPr>
                  </w:pPr>
                </w:p>
                <w:p w:rsidR="006F63B5" w:rsidRPr="00303B89" w:rsidRDefault="006F63B5" w:rsidP="00B07E7D">
                  <w:pPr>
                    <w:rPr>
                      <w:lang w:val="mk-MK"/>
                    </w:rPr>
                  </w:pPr>
                </w:p>
                <w:p w:rsidR="006F63B5" w:rsidRPr="00303B89" w:rsidRDefault="006F63B5" w:rsidP="00B07E7D">
                  <w:pPr>
                    <w:rPr>
                      <w:lang w:val="mk-MK"/>
                    </w:rPr>
                  </w:pPr>
                </w:p>
                <w:p w:rsidR="006F63B5" w:rsidRDefault="006F63B5" w:rsidP="00B07E7D">
                  <w:pPr>
                    <w:pStyle w:val="Caption"/>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Pr="008476D5" w:rsidRDefault="006F63B5" w:rsidP="00B07E7D">
                  <w:pPr>
                    <w:rPr>
                      <w:sz w:val="20"/>
                      <w:szCs w:val="20"/>
                      <w:lang w:val="mk-MK"/>
                    </w:rPr>
                  </w:pPr>
                  <w:r w:rsidRPr="008476D5">
                    <w:rPr>
                      <w:sz w:val="20"/>
                      <w:szCs w:val="20"/>
                      <w:lang w:val="mk-MK"/>
                    </w:rPr>
                    <w:t>Извор:</w:t>
                  </w:r>
                </w:p>
              </w:txbxContent>
            </v:textbox>
          </v:shape>
        </w:pict>
      </w:r>
      <w:r w:rsidR="001870F7" w:rsidRPr="00B63768">
        <w:t>Депозити</w:t>
      </w:r>
      <w:r w:rsidR="00E11010" w:rsidRPr="00B63768">
        <w:t xml:space="preserve"> на нефинансиски</w:t>
      </w:r>
      <w:r w:rsidR="00D75AB3" w:rsidRPr="00B63768">
        <w:t>те</w:t>
      </w:r>
      <w:r w:rsidR="00E11010" w:rsidRPr="00B63768">
        <w:t xml:space="preserve"> субјекти</w:t>
      </w:r>
      <w:bookmarkEnd w:id="13"/>
    </w:p>
    <w:p w:rsidR="00EE26CC" w:rsidRPr="00B63768" w:rsidRDefault="00E11010" w:rsidP="00A57417">
      <w:pPr>
        <w:rPr>
          <w:lang w:val="mk-MK"/>
        </w:rPr>
      </w:pPr>
      <w:r w:rsidRPr="00B63768">
        <w:rPr>
          <w:lang w:val="mk-MK"/>
        </w:rPr>
        <w:tab/>
      </w:r>
    </w:p>
    <w:p w:rsidR="00B07E7D" w:rsidRPr="00B63768" w:rsidRDefault="00B07E7D" w:rsidP="006F63B5">
      <w:pPr>
        <w:ind w:firstLine="720"/>
        <w:rPr>
          <w:lang w:val="mk-MK"/>
        </w:rPr>
      </w:pPr>
      <w:r w:rsidRPr="00B63768">
        <w:rPr>
          <w:rFonts w:cs="Tahoma"/>
          <w:b/>
          <w:lang w:val="mk-MK"/>
        </w:rPr>
        <w:t>Во  првиот квартал од 2013 година, вкупните депозити на нефинансиските субјекти изнесуваа 248.328 милиони денари и остварија забавен раст во однос на претходниот квартал (</w:t>
      </w:r>
      <w:r w:rsidR="004812D5" w:rsidRPr="00B63768">
        <w:rPr>
          <w:rFonts w:cs="Tahoma"/>
          <w:b/>
          <w:lang w:val="mk-MK"/>
        </w:rPr>
        <w:t>а</w:t>
      </w:r>
      <w:r w:rsidRPr="00B63768">
        <w:rPr>
          <w:rFonts w:cs="Tahoma"/>
          <w:b/>
          <w:lang w:val="mk-MK"/>
        </w:rPr>
        <w:t>некс бр.</w:t>
      </w:r>
      <w:r w:rsidR="004812D5" w:rsidRPr="00B63768">
        <w:rPr>
          <w:rFonts w:cs="Tahoma"/>
          <w:b/>
          <w:lang w:val="mk-MK"/>
        </w:rPr>
        <w:t xml:space="preserve"> 10</w:t>
      </w:r>
      <w:r w:rsidR="0064235F" w:rsidRPr="00B63768">
        <w:rPr>
          <w:rFonts w:cs="Tahoma"/>
          <w:b/>
          <w:lang w:val="mk-MK"/>
        </w:rPr>
        <w:t>)</w:t>
      </w:r>
      <w:r w:rsidRPr="00B63768">
        <w:rPr>
          <w:rFonts w:cs="Tahoma"/>
          <w:b/>
          <w:lang w:val="mk-MK"/>
        </w:rPr>
        <w:t xml:space="preserve">. </w:t>
      </w:r>
      <w:r w:rsidRPr="00B63768">
        <w:rPr>
          <w:rFonts w:cs="Tahoma"/>
          <w:lang w:val="mk-MK"/>
        </w:rPr>
        <w:t xml:space="preserve">Носител на растот на депозитната активност се депозитите на домаќинствата </w:t>
      </w:r>
      <w:r w:rsidRPr="00B63768">
        <w:rPr>
          <w:lang w:val="mk-MK"/>
        </w:rPr>
        <w:t>(</w:t>
      </w:r>
      <w:r w:rsidR="004812D5" w:rsidRPr="00B63768">
        <w:rPr>
          <w:lang w:val="mk-MK"/>
        </w:rPr>
        <w:t>а</w:t>
      </w:r>
      <w:r w:rsidRPr="00B63768">
        <w:rPr>
          <w:lang w:val="mk-MK"/>
        </w:rPr>
        <w:t>некс</w:t>
      </w:r>
      <w:r w:rsidR="004812D5" w:rsidRPr="00B63768">
        <w:rPr>
          <w:lang w:val="mk-MK"/>
        </w:rPr>
        <w:t>и</w:t>
      </w:r>
      <w:r w:rsidRPr="00B63768">
        <w:rPr>
          <w:lang w:val="mk-MK"/>
        </w:rPr>
        <w:t xml:space="preserve"> </w:t>
      </w:r>
      <w:r w:rsidR="0064235F" w:rsidRPr="00B63768">
        <w:rPr>
          <w:lang w:val="mk-MK"/>
        </w:rPr>
        <w:t>бр.</w:t>
      </w:r>
      <w:r w:rsidR="004812D5" w:rsidRPr="00B63768">
        <w:rPr>
          <w:lang w:val="mk-MK"/>
        </w:rPr>
        <w:t xml:space="preserve"> 10 и 12</w:t>
      </w:r>
      <w:r w:rsidRPr="00B63768">
        <w:rPr>
          <w:lang w:val="mk-MK"/>
        </w:rPr>
        <w:t xml:space="preserve">), коишто на квартална основа се зголемија за 3.668 милиони денари. Најголем дел од овој раст се должи на </w:t>
      </w:r>
      <w:r w:rsidRPr="00B63768">
        <w:rPr>
          <w:rFonts w:cs="Tahoma"/>
          <w:lang w:val="mk-MK"/>
        </w:rPr>
        <w:t xml:space="preserve">долгорочните </w:t>
      </w:r>
      <w:r w:rsidR="002706D7" w:rsidRPr="00B63768">
        <w:rPr>
          <w:rFonts w:cs="Tahoma"/>
          <w:lang w:val="mk-MK"/>
        </w:rPr>
        <w:t xml:space="preserve">денарски </w:t>
      </w:r>
      <w:r w:rsidRPr="00B63768">
        <w:rPr>
          <w:rFonts w:cs="Tahoma"/>
          <w:lang w:val="mk-MK"/>
        </w:rPr>
        <w:t>депозити</w:t>
      </w:r>
      <w:r w:rsidRPr="00B63768">
        <w:rPr>
          <w:rStyle w:val="FootnoteReference"/>
          <w:rFonts w:cs="Tahoma"/>
          <w:lang w:val="mk-MK"/>
        </w:rPr>
        <w:footnoteReference w:id="14"/>
      </w:r>
      <w:r w:rsidRPr="00B63768">
        <w:rPr>
          <w:rFonts w:cs="Tahoma"/>
          <w:lang w:val="mk-MK"/>
        </w:rPr>
        <w:t xml:space="preserve">.  </w:t>
      </w:r>
      <w:r w:rsidR="000C10D8" w:rsidRPr="00B63768">
        <w:rPr>
          <w:rFonts w:cs="Tahoma"/>
          <w:lang w:val="mk-MK"/>
        </w:rPr>
        <w:t>З</w:t>
      </w:r>
      <w:r w:rsidRPr="00B63768">
        <w:rPr>
          <w:rFonts w:cs="Tahoma"/>
          <w:lang w:val="mk-MK"/>
        </w:rPr>
        <w:t xml:space="preserve">големената </w:t>
      </w:r>
      <w:r w:rsidR="008B43ED" w:rsidRPr="00B63768">
        <w:rPr>
          <w:rFonts w:cs="Tahoma"/>
          <w:lang w:val="mk-MK"/>
        </w:rPr>
        <w:t xml:space="preserve">склоност </w:t>
      </w:r>
      <w:r w:rsidRPr="00B63768">
        <w:rPr>
          <w:rFonts w:cs="Tahoma"/>
          <w:lang w:val="mk-MK"/>
        </w:rPr>
        <w:t xml:space="preserve">за штедење во домашна валута и на долг рок може да се објасни со повисоките каматни </w:t>
      </w:r>
      <w:r w:rsidRPr="00B63768">
        <w:rPr>
          <w:rFonts w:cs="Tahoma"/>
          <w:lang w:val="mk-MK"/>
        </w:rPr>
        <w:lastRenderedPageBreak/>
        <w:t xml:space="preserve">стапки при повеќегодишно штедење. Кај депозитите на претпријатијата се забележа квартално намалување од 358 милиони денари, </w:t>
      </w:r>
      <w:r w:rsidRPr="00B63768">
        <w:rPr>
          <w:lang w:val="mk-MK"/>
        </w:rPr>
        <w:t xml:space="preserve">коешто во најголем дел (90,1%) е сконцентрирано кај краткорочните денарски депозити со девизна клаузула. </w:t>
      </w:r>
      <w:r w:rsidR="00040D2C" w:rsidRPr="00040D2C">
        <w:rPr>
          <w:rFonts w:cs="Tahoma"/>
          <w:b/>
          <w:lang w:val="mk-MK"/>
        </w:rPr>
        <w:pict>
          <v:shape id="_x0000_s1113" type="#_x0000_t202" style="position:absolute;left:0;text-align:left;margin-left:-225.15pt;margin-top:-10.45pt;width:205.35pt;height:320.1pt;z-index:251739136;mso-position-horizontal-relative:text;mso-position-vertical-relative:text" strokecolor="black [3213]">
            <v:textbox style="mso-next-textbox:#_x0000_s1113">
              <w:txbxContent>
                <w:p w:rsidR="006F63B5" w:rsidRDefault="006F63B5" w:rsidP="00B07E7D">
                  <w:pPr>
                    <w:pStyle w:val="Caption"/>
                    <w:rPr>
                      <w:rFonts w:cs="Tahoma"/>
                      <w:noProof/>
                      <w:lang w:val="mk-MK"/>
                    </w:rPr>
                  </w:pPr>
                  <w:r>
                    <w:t xml:space="preserve">Графикон бр. </w:t>
                  </w:r>
                  <w:fldSimple w:instr=" SEQ Графикон_бр. \* ARABIC ">
                    <w:r>
                      <w:rPr>
                        <w:noProof/>
                      </w:rPr>
                      <w:t>15</w:t>
                    </w:r>
                  </w:fldSimple>
                  <w:r>
                    <w:t xml:space="preserve"> </w:t>
                  </w:r>
                  <w:r>
                    <w:rPr>
                      <w:rFonts w:cs="Tahoma"/>
                      <w:lang w:val="mk-MK"/>
                    </w:rPr>
                    <w:t>Квартална (горе) и годишна (долу) промена на депозитите на нефинансиските субјекти</w:t>
                  </w:r>
                </w:p>
                <w:p w:rsidR="006F63B5" w:rsidRPr="00B16D7E" w:rsidRDefault="006F63B5" w:rsidP="00B07E7D">
                  <w:pPr>
                    <w:rPr>
                      <w:lang w:val="mk-MK"/>
                    </w:rPr>
                  </w:pPr>
                  <w:r w:rsidRPr="00B16D7E">
                    <w:rPr>
                      <w:noProof/>
                    </w:rPr>
                    <w:drawing>
                      <wp:inline distT="0" distB="0" distL="0" distR="0">
                        <wp:extent cx="2408821" cy="3051544"/>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415540" cy="3060056"/>
                                </a:xfrm>
                                <a:prstGeom prst="rect">
                                  <a:avLst/>
                                </a:prstGeom>
                                <a:noFill/>
                                <a:ln w="9525">
                                  <a:noFill/>
                                  <a:miter lim="800000"/>
                                  <a:headEnd/>
                                  <a:tailEnd/>
                                </a:ln>
                              </pic:spPr>
                            </pic:pic>
                          </a:graphicData>
                        </a:graphic>
                      </wp:inline>
                    </w:drawing>
                  </w:r>
                </w:p>
                <w:p w:rsidR="006F63B5" w:rsidRPr="00A72927" w:rsidRDefault="006F63B5" w:rsidP="00B07E7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Pr="00065D2C" w:rsidRDefault="006F63B5" w:rsidP="00B07E7D">
                  <w:pPr>
                    <w:pStyle w:val="Caption"/>
                    <w:rPr>
                      <w:lang w:val="mk-MK"/>
                    </w:rPr>
                  </w:pPr>
                </w:p>
                <w:p w:rsidR="006F63B5" w:rsidRPr="00303B89" w:rsidRDefault="006F63B5" w:rsidP="00B07E7D">
                  <w:pPr>
                    <w:rPr>
                      <w:lang w:val="mk-MK"/>
                    </w:rPr>
                  </w:pPr>
                </w:p>
                <w:p w:rsidR="006F63B5" w:rsidRPr="00303B89" w:rsidRDefault="006F63B5" w:rsidP="00B07E7D">
                  <w:pPr>
                    <w:rPr>
                      <w:lang w:val="mk-MK"/>
                    </w:rPr>
                  </w:pPr>
                </w:p>
                <w:p w:rsidR="006F63B5" w:rsidRDefault="006F63B5" w:rsidP="00B07E7D">
                  <w:pPr>
                    <w:pStyle w:val="Caption"/>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Default="006F63B5" w:rsidP="00B07E7D">
                  <w:pPr>
                    <w:rPr>
                      <w:lang w:val="mk-MK"/>
                    </w:rPr>
                  </w:pPr>
                </w:p>
                <w:p w:rsidR="006F63B5" w:rsidRPr="008476D5" w:rsidRDefault="006F63B5" w:rsidP="00B07E7D">
                  <w:pPr>
                    <w:rPr>
                      <w:sz w:val="20"/>
                      <w:szCs w:val="20"/>
                      <w:lang w:val="mk-MK"/>
                    </w:rPr>
                  </w:pPr>
                  <w:r w:rsidRPr="008476D5">
                    <w:rPr>
                      <w:sz w:val="20"/>
                      <w:szCs w:val="20"/>
                      <w:lang w:val="mk-MK"/>
                    </w:rPr>
                    <w:t>Извор:</w:t>
                  </w:r>
                </w:p>
              </w:txbxContent>
            </v:textbox>
          </v:shape>
        </w:pict>
      </w:r>
      <w:r w:rsidR="003871F7" w:rsidRPr="003871F7">
        <w:rPr>
          <w:b/>
          <w:lang w:val="mk-MK"/>
        </w:rPr>
        <w:t>Денарското штедење и понатаму има поголемо учество во вкупната депозитна база на банкарскиот систем и во нејзиниот раст</w:t>
      </w:r>
      <w:r w:rsidR="00782DF0" w:rsidRPr="00B63768">
        <w:rPr>
          <w:lang w:val="mk-MK"/>
        </w:rPr>
        <w:t xml:space="preserve">, иако во првиот квартал од 2013 година и девизните депозити бележат слична стапка на раст како денарските депозити </w:t>
      </w:r>
      <w:r w:rsidRPr="00B63768">
        <w:rPr>
          <w:lang w:val="mk-MK"/>
        </w:rPr>
        <w:t>(</w:t>
      </w:r>
      <w:r w:rsidR="007224F5" w:rsidRPr="00B63768">
        <w:rPr>
          <w:lang w:val="mk-MK"/>
        </w:rPr>
        <w:t>а</w:t>
      </w:r>
      <w:r w:rsidR="0064235F" w:rsidRPr="00B63768">
        <w:rPr>
          <w:lang w:val="mk-MK"/>
        </w:rPr>
        <w:t>некс бр.</w:t>
      </w:r>
      <w:r w:rsidR="004812D5" w:rsidRPr="00B63768">
        <w:rPr>
          <w:lang w:val="mk-MK"/>
        </w:rPr>
        <w:t xml:space="preserve"> 10</w:t>
      </w:r>
      <w:r w:rsidRPr="00B63768">
        <w:rPr>
          <w:lang w:val="mk-MK"/>
        </w:rPr>
        <w:t>).</w:t>
      </w:r>
      <w:r w:rsidR="006F63B5">
        <w:rPr>
          <w:b/>
        </w:rPr>
        <w:t xml:space="preserve"> </w:t>
      </w:r>
      <w:r w:rsidR="004506E7" w:rsidRPr="00B63768">
        <w:rPr>
          <w:b/>
          <w:lang w:val="mk-MK"/>
        </w:rPr>
        <w:t xml:space="preserve">Од аспект на рочноста, зголемениот интерес за штедење на долг рок беше главен двигател на растот на вкупната депозитна база во првиот квартал од 2013 година. </w:t>
      </w:r>
      <w:r w:rsidR="004506E7" w:rsidRPr="00B63768">
        <w:rPr>
          <w:lang w:val="mk-MK"/>
        </w:rPr>
        <w:t>Долгорочните депозити остварија раст од 3.711 милиони денари (7,2%), којшто, како што веќе беше истакнато, во најголем дел (88,7%) се должи на зголемувањето на долгорочното штедење на домаќинствата.</w:t>
      </w:r>
      <w:r w:rsidR="00E800DC" w:rsidRPr="00B63768">
        <w:rPr>
          <w:lang w:val="mk-MK"/>
        </w:rPr>
        <w:t xml:space="preserve"> </w:t>
      </w:r>
      <w:r w:rsidRPr="00B63768">
        <w:rPr>
          <w:b/>
          <w:lang w:val="mk-MK"/>
        </w:rPr>
        <w:t>Наспроти ова,</w:t>
      </w:r>
      <w:r w:rsidRPr="00B63768">
        <w:rPr>
          <w:lang w:val="mk-MK"/>
        </w:rPr>
        <w:t xml:space="preserve"> </w:t>
      </w:r>
      <w:r w:rsidRPr="00B63768">
        <w:rPr>
          <w:b/>
          <w:lang w:val="mk-MK"/>
        </w:rPr>
        <w:t>краткорочните депозити</w:t>
      </w:r>
      <w:r w:rsidRPr="00B63768">
        <w:rPr>
          <w:lang w:val="mk-MK"/>
        </w:rPr>
        <w:t xml:space="preserve"> се намалија за 4.332 милион</w:t>
      </w:r>
      <w:r w:rsidR="00836E8F">
        <w:rPr>
          <w:lang w:val="mk-MK"/>
        </w:rPr>
        <w:t>а</w:t>
      </w:r>
      <w:r w:rsidRPr="00B63768">
        <w:rPr>
          <w:lang w:val="mk-MK"/>
        </w:rPr>
        <w:t xml:space="preserve"> денари, како резултат на намалувањето на </w:t>
      </w:r>
      <w:r w:rsidR="00782DF0" w:rsidRPr="00B63768">
        <w:rPr>
          <w:lang w:val="mk-MK"/>
        </w:rPr>
        <w:t>краткорочните денарски депозити со девизна клаузула на претпријатија</w:t>
      </w:r>
      <w:r w:rsidR="00836E8F">
        <w:rPr>
          <w:lang w:val="mk-MK"/>
        </w:rPr>
        <w:t>та</w:t>
      </w:r>
      <w:r w:rsidR="00782DF0" w:rsidRPr="00B63768">
        <w:rPr>
          <w:lang w:val="mk-MK"/>
        </w:rPr>
        <w:t xml:space="preserve">, но и на трансформацијата на </w:t>
      </w:r>
      <w:r w:rsidR="00836E8F" w:rsidRPr="00B63768">
        <w:rPr>
          <w:lang w:val="mk-MK"/>
        </w:rPr>
        <w:t>знач</w:t>
      </w:r>
      <w:r w:rsidR="00836E8F">
        <w:rPr>
          <w:lang w:val="mk-MK"/>
        </w:rPr>
        <w:t>ител</w:t>
      </w:r>
      <w:r w:rsidR="00836E8F" w:rsidRPr="00B63768">
        <w:rPr>
          <w:lang w:val="mk-MK"/>
        </w:rPr>
        <w:t xml:space="preserve">ен </w:t>
      </w:r>
      <w:r w:rsidR="00782DF0" w:rsidRPr="00B63768">
        <w:rPr>
          <w:lang w:val="mk-MK"/>
        </w:rPr>
        <w:t xml:space="preserve">дел од </w:t>
      </w:r>
      <w:r w:rsidRPr="00B63768">
        <w:rPr>
          <w:lang w:val="mk-MK"/>
        </w:rPr>
        <w:t xml:space="preserve">краткорочните девизни депозити </w:t>
      </w:r>
      <w:r w:rsidR="00352713" w:rsidRPr="00B63768">
        <w:rPr>
          <w:lang w:val="mk-MK"/>
        </w:rPr>
        <w:t>во депозити по видување</w:t>
      </w:r>
      <w:r w:rsidR="00352713" w:rsidRPr="00B63768">
        <w:rPr>
          <w:rStyle w:val="FootnoteReference"/>
          <w:lang w:val="mk-MK"/>
        </w:rPr>
        <w:footnoteReference w:id="15"/>
      </w:r>
      <w:r w:rsidRPr="00B63768">
        <w:rPr>
          <w:lang w:val="mk-MK"/>
        </w:rPr>
        <w:t xml:space="preserve">. </w:t>
      </w:r>
      <w:r w:rsidR="00352713" w:rsidRPr="00B63768">
        <w:rPr>
          <w:lang w:val="mk-MK"/>
        </w:rPr>
        <w:t>Како резултат</w:t>
      </w:r>
      <w:r w:rsidR="00836E8F">
        <w:rPr>
          <w:lang w:val="mk-MK"/>
        </w:rPr>
        <w:t xml:space="preserve"> на тоа</w:t>
      </w:r>
      <w:r w:rsidR="00352713" w:rsidRPr="00B63768">
        <w:rPr>
          <w:lang w:val="mk-MK"/>
        </w:rPr>
        <w:t xml:space="preserve">, </w:t>
      </w:r>
      <w:r w:rsidR="00352713" w:rsidRPr="00B63768">
        <w:rPr>
          <w:b/>
          <w:lang w:val="mk-MK"/>
        </w:rPr>
        <w:t>д</w:t>
      </w:r>
      <w:r w:rsidRPr="00B63768">
        <w:rPr>
          <w:b/>
          <w:lang w:val="mk-MK"/>
        </w:rPr>
        <w:t>епозитите по видување</w:t>
      </w:r>
      <w:r w:rsidRPr="00B63768">
        <w:rPr>
          <w:lang w:val="mk-MK"/>
        </w:rPr>
        <w:t xml:space="preserve"> </w:t>
      </w:r>
      <w:r w:rsidR="00352713" w:rsidRPr="00B63768">
        <w:rPr>
          <w:lang w:val="mk-MK"/>
        </w:rPr>
        <w:t xml:space="preserve">се </w:t>
      </w:r>
      <w:r w:rsidRPr="00B63768">
        <w:rPr>
          <w:lang w:val="mk-MK"/>
        </w:rPr>
        <w:t>зголем</w:t>
      </w:r>
      <w:r w:rsidR="00352713" w:rsidRPr="00B63768">
        <w:rPr>
          <w:lang w:val="mk-MK"/>
        </w:rPr>
        <w:t>ија за</w:t>
      </w:r>
      <w:r w:rsidRPr="00B63768">
        <w:rPr>
          <w:lang w:val="mk-MK"/>
        </w:rPr>
        <w:t xml:space="preserve"> 3.576 милиони денари</w:t>
      </w:r>
      <w:r w:rsidR="00352713" w:rsidRPr="00B63768">
        <w:rPr>
          <w:lang w:val="mk-MK"/>
        </w:rPr>
        <w:t>.</w:t>
      </w:r>
      <w:r w:rsidRPr="00B63768">
        <w:rPr>
          <w:lang w:val="mk-MK"/>
        </w:rPr>
        <w:t xml:space="preserve"> </w:t>
      </w:r>
    </w:p>
    <w:p w:rsidR="00B2375B" w:rsidRPr="00B63768" w:rsidRDefault="00040D2C" w:rsidP="00E11010">
      <w:pPr>
        <w:ind w:firstLine="720"/>
        <w:rPr>
          <w:rFonts w:eastAsia="Times New Roman" w:cs="Tahoma"/>
          <w:b/>
          <w:bCs/>
          <w:lang w:val="mk-MK"/>
        </w:rPr>
      </w:pPr>
      <w:r w:rsidRPr="00040D2C">
        <w:rPr>
          <w:lang w:val="mk-MK"/>
        </w:rPr>
        <w:pict>
          <v:shape id="_x0000_s1114" type="#_x0000_t202" style="position:absolute;left:0;text-align:left;margin-left:-222.65pt;margin-top:3.8pt;width:466.05pt;height:196.75pt;z-index:251740160">
            <v:textbox style="mso-next-textbox:#_x0000_s1114">
              <w:txbxContent>
                <w:p w:rsidR="006F63B5" w:rsidRDefault="006F63B5" w:rsidP="00B07E7D">
                  <w:pPr>
                    <w:pStyle w:val="Caption"/>
                    <w:rPr>
                      <w:rFonts w:cs="Tahoma"/>
                      <w:noProof/>
                      <w:lang w:val="mk-MK"/>
                    </w:rPr>
                  </w:pPr>
                  <w:r>
                    <w:t xml:space="preserve">Графикон бр. </w:t>
                  </w:r>
                  <w:fldSimple w:instr=" SEQ Графикон_бр. \* ARABIC ">
                    <w:r>
                      <w:rPr>
                        <w:noProof/>
                      </w:rPr>
                      <w:t>16</w:t>
                    </w:r>
                  </w:fldSimple>
                  <w:r>
                    <w:t xml:space="preserve"> </w:t>
                  </w:r>
                  <w:r>
                    <w:rPr>
                      <w:rFonts w:cs="Tahoma"/>
                      <w:lang w:val="mk-MK"/>
                    </w:rPr>
                    <w:t>Структура на депозитите според секторот, валутата и рочноста</w:t>
                  </w:r>
                </w:p>
                <w:p w:rsidR="006F63B5" w:rsidRDefault="006F63B5" w:rsidP="00B07E7D">
                  <w:pPr>
                    <w:pStyle w:val="Caption"/>
                    <w:rPr>
                      <w:b w:val="0"/>
                      <w:sz w:val="18"/>
                      <w:szCs w:val="18"/>
                    </w:rPr>
                  </w:pPr>
                  <w:r w:rsidRPr="00262107">
                    <w:rPr>
                      <w:noProof/>
                    </w:rPr>
                    <w:drawing>
                      <wp:inline distT="0" distB="0" distL="0" distR="0">
                        <wp:extent cx="5775693" cy="2073349"/>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89930" cy="2078460"/>
                                </a:xfrm>
                                <a:prstGeom prst="rect">
                                  <a:avLst/>
                                </a:prstGeom>
                                <a:noFill/>
                                <a:ln w="9525">
                                  <a:noFill/>
                                  <a:miter lim="800000"/>
                                  <a:headEnd/>
                                  <a:tailEnd/>
                                </a:ln>
                              </pic:spPr>
                            </pic:pic>
                          </a:graphicData>
                        </a:graphic>
                      </wp:inline>
                    </w:drawing>
                  </w:r>
                </w:p>
                <w:p w:rsidR="006F63B5" w:rsidRPr="00A72927" w:rsidRDefault="006F63B5" w:rsidP="00B07E7D">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Pr>
                      <w:rFonts w:cs="Tahoma"/>
                      <w:b w:val="0"/>
                      <w:sz w:val="18"/>
                      <w:szCs w:val="18"/>
                      <w:lang w:val="mk-MK"/>
                    </w:rPr>
                    <w:t>Народната банка</w:t>
                  </w:r>
                  <w:r w:rsidRPr="00A72927">
                    <w:rPr>
                      <w:rFonts w:cs="Tahoma"/>
                      <w:b w:val="0"/>
                      <w:sz w:val="18"/>
                      <w:szCs w:val="18"/>
                      <w:lang w:val="mk-MK"/>
                    </w:rPr>
                    <w:t>, врз основа на податоците доставени од страна на банките.</w:t>
                  </w:r>
                </w:p>
                <w:p w:rsidR="006F63B5" w:rsidRDefault="006F63B5" w:rsidP="00B07E7D"/>
              </w:txbxContent>
            </v:textbox>
          </v:shape>
        </w:pict>
      </w:r>
      <w:r w:rsidR="00B2375B" w:rsidRPr="00B63768">
        <w:rPr>
          <w:rFonts w:cs="Tahoma"/>
          <w:lang w:val="mk-MK"/>
        </w:rPr>
        <w:br w:type="page"/>
      </w:r>
    </w:p>
    <w:p w:rsidR="001870F7" w:rsidRPr="00B63768" w:rsidRDefault="001870F7" w:rsidP="008E6D94">
      <w:pPr>
        <w:pStyle w:val="Heading1"/>
      </w:pPr>
      <w:bookmarkStart w:id="14" w:name="_Toc362007054"/>
      <w:r w:rsidRPr="00B63768">
        <w:lastRenderedPageBreak/>
        <w:t>Ризици во банкарското работење</w:t>
      </w:r>
      <w:bookmarkEnd w:id="14"/>
    </w:p>
    <w:p w:rsidR="001870F7" w:rsidRPr="00B63768" w:rsidRDefault="001870F7" w:rsidP="00620347">
      <w:pPr>
        <w:rPr>
          <w:rFonts w:cs="Tahoma"/>
          <w:lang w:val="mk-MK"/>
        </w:rPr>
      </w:pPr>
    </w:p>
    <w:p w:rsidR="001870F7" w:rsidRPr="00B63768" w:rsidRDefault="001870F7" w:rsidP="003B2315">
      <w:pPr>
        <w:pStyle w:val="Heading2"/>
      </w:pPr>
      <w:bookmarkStart w:id="15" w:name="_Toc362007055"/>
      <w:r w:rsidRPr="00B63768">
        <w:t>Кредитен ризик</w:t>
      </w:r>
      <w:bookmarkEnd w:id="15"/>
    </w:p>
    <w:p w:rsidR="00BF333C" w:rsidRPr="00B63768" w:rsidRDefault="00BF333C" w:rsidP="00A57417">
      <w:pPr>
        <w:rPr>
          <w:lang w:val="mk-MK"/>
        </w:rPr>
      </w:pPr>
    </w:p>
    <w:p w:rsidR="00D41027" w:rsidRPr="00B63768" w:rsidRDefault="00040D2C" w:rsidP="00FE16F9">
      <w:pPr>
        <w:ind w:left="-4536" w:firstLine="708"/>
        <w:rPr>
          <w:b/>
          <w:lang w:val="mk-MK"/>
        </w:rPr>
      </w:pPr>
      <w:bookmarkStart w:id="16" w:name="_Toc305677580"/>
      <w:bookmarkStart w:id="17" w:name="_Toc299102818"/>
      <w:r w:rsidRPr="00040D2C">
        <w:rPr>
          <w:bCs/>
          <w:snapToGrid w:val="0"/>
          <w:w w:val="0"/>
          <w:lang w:val="mk-MK"/>
        </w:rPr>
        <w:pict>
          <v:shape id="_x0000_s1036" type="#_x0000_t202" style="position:absolute;left:0;text-align:left;margin-left:-223.05pt;margin-top:214.8pt;width:213.7pt;height:347.65pt;z-index:251764736;mso-position-horizontal-relative:margin;mso-position-vertical-relative:margin" wrapcoords="-76 -47 -76 21553 21676 21553 21676 -47 -76 -47">
            <v:textbox style="mso-next-textbox:#_x0000_s1036">
              <w:txbxContent>
                <w:p w:rsidR="006F63B5" w:rsidRDefault="006F63B5" w:rsidP="00D41027">
                  <w:pPr>
                    <w:pStyle w:val="Caption"/>
                  </w:pPr>
                  <w:r>
                    <w:t xml:space="preserve">Графикон бр. </w:t>
                  </w:r>
                  <w:fldSimple w:instr=" SEQ Графикон_бр. \* ARABIC ">
                    <w:r>
                      <w:rPr>
                        <w:noProof/>
                      </w:rPr>
                      <w:t>17</w:t>
                    </w:r>
                  </w:fldSimple>
                  <w:r>
                    <w:rPr>
                      <w:lang w:val="mk-MK"/>
                    </w:rPr>
                    <w:t xml:space="preserve"> Структура (горе) и квартална стапка на раст (долу) на вкупната кредитна изложеност</w:t>
                  </w:r>
                </w:p>
                <w:p w:rsidR="006F63B5" w:rsidRPr="00901E10" w:rsidRDefault="006F63B5" w:rsidP="00D41027">
                  <w:pPr>
                    <w:rPr>
                      <w:lang w:val="mk-MK"/>
                    </w:rPr>
                  </w:pPr>
                  <w:r w:rsidRPr="00497775">
                    <w:rPr>
                      <w:noProof/>
                    </w:rPr>
                    <w:drawing>
                      <wp:inline distT="0" distB="0" distL="0" distR="0">
                        <wp:extent cx="2523334" cy="300990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521585" cy="3007814"/>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Кредитен регистар на Народната банка, врз основа на податоците доставени од страна на банките.</w:t>
                  </w:r>
                </w:p>
                <w:p w:rsidR="006F63B5" w:rsidRPr="00303B89" w:rsidRDefault="006F63B5" w:rsidP="00D41027">
                  <w:pPr>
                    <w:rPr>
                      <w:lang w:val="mk-MK"/>
                    </w:rPr>
                  </w:pPr>
                  <w:r>
                    <w:rPr>
                      <w:sz w:val="18"/>
                      <w:szCs w:val="18"/>
                      <w:lang w:val="mk-MK"/>
                    </w:rPr>
                    <w:t>Во други побарувања, покрај надоместите, провизиите и сл. се</w:t>
                  </w:r>
                  <w:r w:rsidRPr="00D20DE0">
                    <w:rPr>
                      <w:sz w:val="18"/>
                      <w:szCs w:val="18"/>
                      <w:lang w:val="mk-MK"/>
                    </w:rPr>
                    <w:t xml:space="preserve"> опфатени и </w:t>
                  </w:r>
                  <w:r>
                    <w:rPr>
                      <w:sz w:val="18"/>
                      <w:szCs w:val="18"/>
                      <w:lang w:val="mk-MK"/>
                    </w:rPr>
                    <w:t>в</w:t>
                  </w:r>
                  <w:r w:rsidRPr="00D20DE0">
                    <w:rPr>
                      <w:sz w:val="18"/>
                      <w:szCs w:val="18"/>
                      <w:lang w:val="mk-MK"/>
                    </w:rPr>
                    <w:t>ложувањата на банките во благајнички и државни записи</w:t>
                  </w:r>
                  <w:r w:rsidRPr="00D22DB7">
                    <w:rPr>
                      <w:sz w:val="18"/>
                      <w:szCs w:val="18"/>
                      <w:lang w:val="mk-MK"/>
                    </w:rPr>
                    <w:t>.</w:t>
                  </w: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anchorx="margin" anchory="margin"/>
          </v:shape>
        </w:pict>
      </w:r>
      <w:r w:rsidR="00D41027" w:rsidRPr="00B63768">
        <w:rPr>
          <w:b/>
          <w:lang w:val="mk-MK"/>
        </w:rPr>
        <w:t>Првиот квартал од 2013 година го одбележаа забавеното темпо на раст на кредитната изложеност</w:t>
      </w:r>
      <w:r w:rsidR="00D617B3" w:rsidRPr="00B63768">
        <w:rPr>
          <w:b/>
          <w:lang w:val="mk-MK"/>
        </w:rPr>
        <w:t xml:space="preserve"> </w:t>
      </w:r>
      <w:r w:rsidR="00D41027" w:rsidRPr="00B63768">
        <w:rPr>
          <w:b/>
          <w:lang w:val="mk-MK"/>
        </w:rPr>
        <w:t>и зголеменото ниво на кредитен ризик во банкарскиот систем. Растот на нефункционалните кредити забрза и придонесе за зголемување на учеството на нефункционалните кредити во вкупните кредити на нефинансиските субјекти.</w:t>
      </w:r>
      <w:r w:rsidR="009B7B8F" w:rsidRPr="00B63768">
        <w:rPr>
          <w:b/>
          <w:lang w:val="mk-MK"/>
        </w:rPr>
        <w:t xml:space="preserve"> Овој раст пред с</w:t>
      </w:r>
      <w:r w:rsidR="009B7B8F" w:rsidRPr="00B63768">
        <w:rPr>
          <w:rFonts w:cs="Tahoma"/>
          <w:b/>
          <w:lang w:val="mk-MK"/>
        </w:rPr>
        <w:t>ѐ</w:t>
      </w:r>
      <w:r w:rsidR="009B7B8F" w:rsidRPr="00B63768">
        <w:rPr>
          <w:b/>
          <w:lang w:val="mk-MK"/>
        </w:rPr>
        <w:t xml:space="preserve"> се должи на вло</w:t>
      </w:r>
      <w:r w:rsidR="00FA627C" w:rsidRPr="00B63768">
        <w:rPr>
          <w:b/>
          <w:lang w:val="mk-MK"/>
        </w:rPr>
        <w:t>ш</w:t>
      </w:r>
      <w:r w:rsidR="009B7B8F" w:rsidRPr="00B63768">
        <w:rPr>
          <w:b/>
          <w:lang w:val="mk-MK"/>
        </w:rPr>
        <w:t>увањето на кредитниот ризик кај неколку изложености кон</w:t>
      </w:r>
      <w:r w:rsidR="00D22DB7" w:rsidRPr="00B63768">
        <w:rPr>
          <w:b/>
          <w:lang w:val="mk-MK"/>
        </w:rPr>
        <w:t xml:space="preserve"> </w:t>
      </w:r>
      <w:r w:rsidR="009B7B8F" w:rsidRPr="00B63768">
        <w:rPr>
          <w:b/>
          <w:lang w:val="mk-MK"/>
        </w:rPr>
        <w:t>к</w:t>
      </w:r>
      <w:r w:rsidR="00D22DB7" w:rsidRPr="00B63768">
        <w:rPr>
          <w:b/>
          <w:lang w:val="mk-MK"/>
        </w:rPr>
        <w:t>орпоративниот сектор</w:t>
      </w:r>
      <w:r w:rsidR="00836E8F">
        <w:rPr>
          <w:b/>
          <w:lang w:val="mk-MK"/>
        </w:rPr>
        <w:t>,</w:t>
      </w:r>
      <w:r w:rsidR="009B7B8F" w:rsidRPr="00B63768">
        <w:rPr>
          <w:b/>
          <w:lang w:val="mk-MK"/>
        </w:rPr>
        <w:t xml:space="preserve"> којшто</w:t>
      </w:r>
      <w:r w:rsidR="00D22DB7" w:rsidRPr="00B63768">
        <w:rPr>
          <w:b/>
          <w:lang w:val="mk-MK"/>
        </w:rPr>
        <w:t xml:space="preserve"> и понатаму е носител на растот на нефункционалните кредити. </w:t>
      </w:r>
      <w:r w:rsidR="00FC4076" w:rsidRPr="00B63768">
        <w:rPr>
          <w:b/>
          <w:lang w:val="mk-MK"/>
        </w:rPr>
        <w:t>Сепак,</w:t>
      </w:r>
      <w:r w:rsidR="00D22DB7" w:rsidRPr="00B63768">
        <w:rPr>
          <w:b/>
          <w:lang w:val="mk-MK"/>
        </w:rPr>
        <w:t xml:space="preserve"> покриеноста на нефункционалните кредити со вкупната утврдена исправка на вредноста и понатаму е повисока од 100%</w:t>
      </w:r>
      <w:r w:rsidR="00FC4076" w:rsidRPr="00B63768">
        <w:rPr>
          <w:b/>
          <w:lang w:val="mk-MK"/>
        </w:rPr>
        <w:t>, а</w:t>
      </w:r>
      <w:r w:rsidR="00FE16F9" w:rsidRPr="00B63768">
        <w:rPr>
          <w:b/>
          <w:lang w:val="mk-MK"/>
        </w:rPr>
        <w:t xml:space="preserve"> во април и мај 2013 година забави т</w:t>
      </w:r>
      <w:r w:rsidR="00FE16F9" w:rsidRPr="00B63768">
        <w:rPr>
          <w:rFonts w:cs="Tahoma"/>
          <w:b/>
          <w:lang w:val="mk-MK"/>
        </w:rPr>
        <w:t>рендот на зголемување на нефункционалните кредити</w:t>
      </w:r>
      <w:r w:rsidR="00FE16F9" w:rsidRPr="00B63768">
        <w:rPr>
          <w:b/>
          <w:lang w:val="mk-MK"/>
        </w:rPr>
        <w:t xml:space="preserve">. </w:t>
      </w:r>
      <w:r w:rsidR="00836E8F">
        <w:rPr>
          <w:b/>
          <w:lang w:val="mk-MK"/>
        </w:rPr>
        <w:t>Исто така</w:t>
      </w:r>
      <w:r w:rsidR="00FC4076" w:rsidRPr="00B63768">
        <w:rPr>
          <w:b/>
          <w:lang w:val="mk-MK"/>
        </w:rPr>
        <w:t>, треба да се очекува дека започнатиот тренд на подобрување на остварувањата на домашната економија ќе има соодветно одложено влијание и врз квалитетот на кредитното портфолио на банките.</w:t>
      </w:r>
    </w:p>
    <w:p w:rsidR="00D41027" w:rsidRPr="00B63768" w:rsidRDefault="00D41027" w:rsidP="00D41027">
      <w:pPr>
        <w:rPr>
          <w:b/>
          <w:lang w:val="mk-MK"/>
        </w:rPr>
      </w:pPr>
    </w:p>
    <w:p w:rsidR="00D41027" w:rsidRPr="00B63768" w:rsidRDefault="00D41027" w:rsidP="003B2315">
      <w:pPr>
        <w:pStyle w:val="Heading3"/>
      </w:pPr>
      <w:bookmarkStart w:id="18" w:name="_Toc337029264"/>
      <w:bookmarkStart w:id="19" w:name="_Toc362007056"/>
      <w:r w:rsidRPr="00B63768">
        <w:t>Квалитет на кредитното портфолио на банкарскиот систем</w:t>
      </w:r>
      <w:bookmarkEnd w:id="18"/>
      <w:bookmarkEnd w:id="19"/>
      <w:r w:rsidRPr="00B63768">
        <w:t xml:space="preserve"> </w:t>
      </w:r>
    </w:p>
    <w:p w:rsidR="00D41027" w:rsidRPr="00B63768" w:rsidRDefault="00D41027" w:rsidP="00D41027">
      <w:pPr>
        <w:rPr>
          <w:rFonts w:cs="Tahoma"/>
          <w:bCs/>
          <w:lang w:val="mk-MK"/>
        </w:rPr>
      </w:pPr>
    </w:p>
    <w:p w:rsidR="00D41027" w:rsidRPr="00B63768" w:rsidRDefault="00D41027" w:rsidP="00B92E0D">
      <w:pPr>
        <w:ind w:firstLine="567"/>
        <w:rPr>
          <w:rFonts w:cs="Tahoma"/>
          <w:lang w:val="mk-MK"/>
        </w:rPr>
      </w:pPr>
      <w:r w:rsidRPr="00B63768">
        <w:rPr>
          <w:rFonts w:cs="Tahoma"/>
          <w:lang w:val="mk-MK"/>
        </w:rPr>
        <w:t>Вкупната кредитна изложеност</w:t>
      </w:r>
      <w:r w:rsidR="00B92E0D" w:rsidRPr="00B63768">
        <w:rPr>
          <w:rStyle w:val="FootnoteReference"/>
          <w:rFonts w:cs="Tahoma"/>
          <w:lang w:val="mk-MK"/>
        </w:rPr>
        <w:footnoteReference w:id="16"/>
      </w:r>
      <w:r w:rsidRPr="00B63768">
        <w:rPr>
          <w:rFonts w:cs="Tahoma"/>
          <w:lang w:val="mk-MK"/>
        </w:rPr>
        <w:t xml:space="preserve"> во првиот квартал од 2013 година квартал порасна за 6.077 милиони денари (1,7%), што претставува забавување на растот во однос на претходниот квартал. Ова забавување произлегува пред сè од забавениот раст на изложеноста кон државата (квартален раст од 2.486 милиони денари или 7,7%, наспроти 7.264 милиони денари или 29,1% во последниот квартал од 2012 година). </w:t>
      </w:r>
      <w:r w:rsidR="00695A19" w:rsidRPr="00B63768">
        <w:rPr>
          <w:rFonts w:cs="Tahoma"/>
          <w:lang w:val="mk-MK"/>
        </w:rPr>
        <w:t>К</w:t>
      </w:r>
      <w:r w:rsidRPr="00B63768">
        <w:rPr>
          <w:rFonts w:cs="Tahoma"/>
          <w:lang w:val="mk-MK"/>
        </w:rPr>
        <w:t>редитната изложеност</w:t>
      </w:r>
      <w:r w:rsidR="00695A19" w:rsidRPr="00B63768">
        <w:rPr>
          <w:rFonts w:cs="Tahoma"/>
          <w:lang w:val="mk-MK"/>
        </w:rPr>
        <w:t xml:space="preserve"> кон нефинансиските субјекти (без</w:t>
      </w:r>
      <w:r w:rsidRPr="00B63768">
        <w:rPr>
          <w:rFonts w:cs="Tahoma"/>
          <w:lang w:val="mk-MK"/>
        </w:rPr>
        <w:t xml:space="preserve"> </w:t>
      </w:r>
      <w:r w:rsidR="00695A19" w:rsidRPr="00B63768">
        <w:rPr>
          <w:rFonts w:cs="Tahoma"/>
          <w:lang w:val="mk-MK"/>
        </w:rPr>
        <w:t>изложеност</w:t>
      </w:r>
      <w:r w:rsidR="00FC4076" w:rsidRPr="00B63768">
        <w:rPr>
          <w:rFonts w:cs="Tahoma"/>
          <w:lang w:val="mk-MK"/>
        </w:rPr>
        <w:t>а</w:t>
      </w:r>
      <w:r w:rsidR="00695A19" w:rsidRPr="00B63768">
        <w:rPr>
          <w:rFonts w:cs="Tahoma"/>
          <w:lang w:val="mk-MK"/>
        </w:rPr>
        <w:t xml:space="preserve"> кон финансиските институции</w:t>
      </w:r>
      <w:r w:rsidR="00695A19" w:rsidRPr="00B63768">
        <w:rPr>
          <w:rStyle w:val="FootnoteReference"/>
          <w:rFonts w:cs="Tahoma"/>
          <w:lang w:val="mk-MK"/>
        </w:rPr>
        <w:footnoteReference w:id="17"/>
      </w:r>
      <w:r w:rsidR="00695A19" w:rsidRPr="00B63768">
        <w:rPr>
          <w:rFonts w:cs="Tahoma"/>
          <w:lang w:val="mk-MK"/>
        </w:rPr>
        <w:t xml:space="preserve"> и државата)</w:t>
      </w:r>
      <w:r w:rsidR="00695A19" w:rsidRPr="00B63768">
        <w:rPr>
          <w:rStyle w:val="FootnoteReference"/>
          <w:rFonts w:cs="Tahoma"/>
          <w:lang w:val="mk-MK"/>
        </w:rPr>
        <w:t xml:space="preserve"> </w:t>
      </w:r>
      <w:r w:rsidR="00695A19" w:rsidRPr="00B63768">
        <w:rPr>
          <w:rFonts w:cs="Tahoma"/>
          <w:lang w:val="mk-MK"/>
        </w:rPr>
        <w:t>оствари квартален раст од</w:t>
      </w:r>
      <w:r w:rsidRPr="00B63768">
        <w:rPr>
          <w:rFonts w:cs="Tahoma"/>
          <w:lang w:val="mk-MK"/>
        </w:rPr>
        <w:t xml:space="preserve"> 2.712 </w:t>
      </w:r>
      <w:r w:rsidR="00BD26E5" w:rsidRPr="00B63768">
        <w:rPr>
          <w:rFonts w:cs="Tahoma"/>
          <w:lang w:val="mk-MK"/>
        </w:rPr>
        <w:t>милион</w:t>
      </w:r>
      <w:r w:rsidR="00BD26E5">
        <w:rPr>
          <w:rFonts w:cs="Tahoma"/>
          <w:lang w:val="mk-MK"/>
        </w:rPr>
        <w:t>а</w:t>
      </w:r>
      <w:r w:rsidR="00BD26E5" w:rsidRPr="00B63768">
        <w:rPr>
          <w:rFonts w:cs="Tahoma"/>
          <w:lang w:val="mk-MK"/>
        </w:rPr>
        <w:t xml:space="preserve"> </w:t>
      </w:r>
      <w:r w:rsidRPr="00B63768">
        <w:rPr>
          <w:rFonts w:cs="Tahoma"/>
          <w:lang w:val="mk-MK"/>
        </w:rPr>
        <w:t>денари</w:t>
      </w:r>
      <w:r w:rsidR="00BD26E5">
        <w:rPr>
          <w:rFonts w:cs="Tahoma"/>
          <w:lang w:val="mk-MK"/>
        </w:rPr>
        <w:t>,</w:t>
      </w:r>
      <w:r w:rsidRPr="00B63768">
        <w:rPr>
          <w:rFonts w:cs="Tahoma"/>
          <w:lang w:val="mk-MK"/>
        </w:rPr>
        <w:t xml:space="preserve"> или 1,0% (на 31.12.2012 година 0,8%). Најголем дел од </w:t>
      </w:r>
      <w:r w:rsidR="00695A19" w:rsidRPr="00B63768">
        <w:rPr>
          <w:rFonts w:cs="Tahoma"/>
          <w:lang w:val="mk-MK"/>
        </w:rPr>
        <w:t xml:space="preserve">овој </w:t>
      </w:r>
      <w:r w:rsidRPr="00B63768">
        <w:rPr>
          <w:rFonts w:cs="Tahoma"/>
          <w:lang w:val="mk-MK"/>
        </w:rPr>
        <w:t xml:space="preserve">раст (67,7%), произлегува од растот на кредитната изложеност кон претпријатијата и </w:t>
      </w:r>
      <w:r w:rsidRPr="00B63768">
        <w:rPr>
          <w:rFonts w:cs="Tahoma"/>
          <w:lang w:val="mk-MK"/>
        </w:rPr>
        <w:lastRenderedPageBreak/>
        <w:t>другите клиенти</w:t>
      </w:r>
      <w:r w:rsidRPr="00B63768">
        <w:rPr>
          <w:rStyle w:val="FootnoteReference"/>
          <w:rFonts w:cs="Tahoma"/>
          <w:lang w:val="mk-MK"/>
        </w:rPr>
        <w:footnoteReference w:id="18"/>
      </w:r>
      <w:r w:rsidRPr="00B63768">
        <w:rPr>
          <w:rFonts w:cs="Tahoma"/>
          <w:lang w:val="mk-MK"/>
        </w:rPr>
        <w:t xml:space="preserve"> (за 1.832 </w:t>
      </w:r>
      <w:r w:rsidR="00BD26E5" w:rsidRPr="00B63768">
        <w:rPr>
          <w:rFonts w:cs="Tahoma"/>
          <w:lang w:val="mk-MK"/>
        </w:rPr>
        <w:t>милион</w:t>
      </w:r>
      <w:r w:rsidR="00BD26E5">
        <w:rPr>
          <w:rFonts w:cs="Tahoma"/>
          <w:lang w:val="mk-MK"/>
        </w:rPr>
        <w:t>а</w:t>
      </w:r>
      <w:r w:rsidR="00BD26E5" w:rsidRPr="00B63768">
        <w:rPr>
          <w:rFonts w:cs="Tahoma"/>
          <w:lang w:val="mk-MK"/>
        </w:rPr>
        <w:t xml:space="preserve"> </w:t>
      </w:r>
      <w:r w:rsidRPr="00B63768">
        <w:rPr>
          <w:rFonts w:cs="Tahoma"/>
          <w:lang w:val="mk-MK"/>
        </w:rPr>
        <w:t>денари или 1,1%). Според дејноста, најмногу се зголеми кредитната изложеност кон дејностите „трговија на големо и мало“ и „производство на метали, машини, алати и опрема“.</w:t>
      </w:r>
    </w:p>
    <w:p w:rsidR="00B92E0D" w:rsidRPr="00B63768" w:rsidRDefault="00040D2C" w:rsidP="00D41027">
      <w:pPr>
        <w:ind w:firstLine="567"/>
        <w:rPr>
          <w:rFonts w:cs="Tahoma"/>
          <w:lang w:val="mk-MK"/>
        </w:rPr>
      </w:pPr>
      <w:r w:rsidRPr="00040D2C">
        <w:rPr>
          <w:rFonts w:cs="Tahoma"/>
          <w:lang w:val="mk-MK"/>
        </w:rPr>
        <w:pict>
          <v:shape id="_x0000_s1037" type="#_x0000_t202" style="position:absolute;left:0;text-align:left;margin-left:-225.1pt;margin-top:-82.5pt;width:213.7pt;height:324.35pt;z-index:251674624">
            <v:textbox style="mso-next-textbox:#_x0000_s1037">
              <w:txbxContent>
                <w:p w:rsidR="006F63B5" w:rsidRDefault="006F63B5" w:rsidP="00D41027">
                  <w:pPr>
                    <w:pStyle w:val="Caption"/>
                  </w:pPr>
                  <w:r>
                    <w:t xml:space="preserve">Графикон бр. </w:t>
                  </w:r>
                  <w:fldSimple w:instr=" SEQ Графикон_бр. \* ARABIC ">
                    <w:r>
                      <w:rPr>
                        <w:noProof/>
                      </w:rPr>
                      <w:t>18</w:t>
                    </w:r>
                  </w:fldSimple>
                  <w:r>
                    <w:rPr>
                      <w:lang w:val="mk-MK"/>
                    </w:rPr>
                    <w:t xml:space="preserve"> Квартална (горе) и годишна (долу) стапка на раст на нефункционалните кредити</w:t>
                  </w:r>
                </w:p>
                <w:p w:rsidR="006F63B5" w:rsidRPr="00901E10" w:rsidRDefault="006F63B5" w:rsidP="00D41027">
                  <w:pPr>
                    <w:rPr>
                      <w:lang w:val="mk-MK"/>
                    </w:rPr>
                  </w:pPr>
                  <w:r w:rsidRPr="00181D2A">
                    <w:rPr>
                      <w:noProof/>
                    </w:rPr>
                    <w:drawing>
                      <wp:inline distT="0" distB="0" distL="0" distR="0">
                        <wp:extent cx="2522800" cy="32766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521585" cy="3275022"/>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p>
    <w:p w:rsidR="00D41027" w:rsidRPr="00B63768" w:rsidRDefault="00D41027" w:rsidP="00D41027">
      <w:pPr>
        <w:ind w:firstLine="567"/>
        <w:rPr>
          <w:rFonts w:cs="Tahoma"/>
          <w:lang w:val="mk-MK"/>
        </w:rPr>
      </w:pPr>
      <w:r w:rsidRPr="00B63768">
        <w:rPr>
          <w:rFonts w:cs="Tahoma"/>
          <w:lang w:val="mk-MK"/>
        </w:rPr>
        <w:t xml:space="preserve">Во првиот квартал од 2013 година, </w:t>
      </w:r>
      <w:r w:rsidR="00A226D9" w:rsidRPr="00B63768">
        <w:rPr>
          <w:rFonts w:cs="Tahoma"/>
          <w:lang w:val="mk-MK"/>
        </w:rPr>
        <w:t>продолжи</w:t>
      </w:r>
      <w:r w:rsidRPr="00B63768">
        <w:rPr>
          <w:rFonts w:cs="Tahoma"/>
          <w:lang w:val="mk-MK"/>
        </w:rPr>
        <w:t xml:space="preserve"> влошувањето на квалитетот на кредитното портфолио на </w:t>
      </w:r>
      <w:r w:rsidR="00FC4076" w:rsidRPr="00B63768">
        <w:rPr>
          <w:rFonts w:cs="Tahoma"/>
          <w:lang w:val="mk-MK"/>
        </w:rPr>
        <w:t>банките</w:t>
      </w:r>
      <w:r w:rsidRPr="00B63768">
        <w:rPr>
          <w:rFonts w:cs="Tahoma"/>
          <w:lang w:val="mk-MK"/>
        </w:rPr>
        <w:t>, согледано преку највисоката квартална стапка на раст на нефункционалните кредити</w:t>
      </w:r>
      <w:r w:rsidR="00FC4076" w:rsidRPr="00B63768">
        <w:rPr>
          <w:rFonts w:cs="Tahoma"/>
          <w:lang w:val="mk-MK"/>
        </w:rPr>
        <w:t xml:space="preserve"> на нефинансиските субјекти</w:t>
      </w:r>
      <w:r w:rsidRPr="00B63768">
        <w:rPr>
          <w:rFonts w:cs="Tahoma"/>
          <w:lang w:val="mk-MK"/>
        </w:rPr>
        <w:t xml:space="preserve"> во последните четири години. Најголем дел од ова зголемување е сконцентрирано кај една банка од групата големи банки</w:t>
      </w:r>
      <w:r w:rsidR="00FC4076" w:rsidRPr="00B63768">
        <w:rPr>
          <w:rFonts w:cs="Tahoma"/>
          <w:lang w:val="mk-MK"/>
        </w:rPr>
        <w:t xml:space="preserve"> и се однесува на неколку клиенти од корпоративниот сектор</w:t>
      </w:r>
      <w:r w:rsidR="002F3736" w:rsidRPr="00B63768">
        <w:rPr>
          <w:rFonts w:cs="Tahoma"/>
          <w:lang w:val="mk-MK"/>
        </w:rPr>
        <w:t xml:space="preserve"> од </w:t>
      </w:r>
      <w:r w:rsidRPr="00B63768">
        <w:rPr>
          <w:rFonts w:cs="Tahoma"/>
          <w:lang w:val="mk-MK"/>
        </w:rPr>
        <w:t>дејностите „производство на метали, машини, алати и опрема“, „трговија на големо и мало“, „образование“ и „дејности во врска со недвижен имот“. Годишната стапка на раст на нефункционалните кредити исто така забрза и е највисока во последните единаесет квартали</w:t>
      </w:r>
      <w:r w:rsidRPr="00B63768">
        <w:rPr>
          <w:rStyle w:val="FootnoteReference"/>
          <w:rFonts w:cs="Tahoma"/>
          <w:lang w:val="mk-MK"/>
        </w:rPr>
        <w:footnoteReference w:id="19"/>
      </w:r>
      <w:r w:rsidRPr="00B63768">
        <w:rPr>
          <w:rFonts w:cs="Tahoma"/>
          <w:lang w:val="mk-MK"/>
        </w:rPr>
        <w:t xml:space="preserve">. </w:t>
      </w:r>
    </w:p>
    <w:p w:rsidR="00D41027" w:rsidRPr="00B63768" w:rsidRDefault="00D41027"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pict>
          <v:shape id="_x0000_s1038" type="#_x0000_t202" style="position:absolute;left:0;text-align:left;margin-left:-225.1pt;margin-top:29.75pt;width:213.7pt;height:220.5pt;z-index:251675648">
            <v:textbox style="mso-next-textbox:#_x0000_s1038">
              <w:txbxContent>
                <w:p w:rsidR="006F63B5" w:rsidRDefault="006F63B5" w:rsidP="00D41027">
                  <w:pPr>
                    <w:pStyle w:val="Caption"/>
                  </w:pPr>
                  <w:r>
                    <w:t xml:space="preserve">Графикон бр. </w:t>
                  </w:r>
                  <w:fldSimple w:instr=" SEQ Графикон_бр. \* ARABIC ">
                    <w:r>
                      <w:rPr>
                        <w:noProof/>
                      </w:rPr>
                      <w:t>19</w:t>
                    </w:r>
                  </w:fldSimple>
                  <w:r>
                    <w:rPr>
                      <w:lang w:val="mk-MK"/>
                    </w:rPr>
                    <w:t xml:space="preserve"> Учество на нефункционалните кредити во вкупните кредити на нефинансиските субјекти и на одделните сектори</w:t>
                  </w:r>
                </w:p>
                <w:p w:rsidR="006F63B5" w:rsidRPr="00901E10" w:rsidRDefault="006F63B5" w:rsidP="00D41027">
                  <w:pPr>
                    <w:rPr>
                      <w:lang w:val="mk-MK"/>
                    </w:rPr>
                  </w:pPr>
                  <w:r w:rsidRPr="00F75C64">
                    <w:rPr>
                      <w:noProof/>
                    </w:rPr>
                    <w:drawing>
                      <wp:inline distT="0" distB="0" distL="0" distR="0">
                        <wp:extent cx="2519690" cy="162877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521585" cy="1630000"/>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r w:rsidR="00D41027" w:rsidRPr="00B63768">
        <w:rPr>
          <w:rFonts w:cs="Tahoma"/>
          <w:lang w:val="mk-MK"/>
        </w:rPr>
        <w:t>Во услови на поголем раст на нефункционалните кредити од растот на вкупните кредити, учеството на нефункционалните кредити во вкупните кредити на нефинансиски</w:t>
      </w:r>
      <w:r w:rsidR="00BD26E5">
        <w:rPr>
          <w:rFonts w:cs="Tahoma"/>
          <w:lang w:val="mk-MK"/>
        </w:rPr>
        <w:t>те</w:t>
      </w:r>
      <w:r w:rsidR="00D41027" w:rsidRPr="00B63768">
        <w:rPr>
          <w:rFonts w:cs="Tahoma"/>
          <w:lang w:val="mk-MK"/>
        </w:rPr>
        <w:t xml:space="preserve"> субјекти се зголеми за 1,4 процентни поени и достигна 11,9%. Притоа, </w:t>
      </w:r>
      <w:r w:rsidR="007100D8" w:rsidRPr="00B63768">
        <w:rPr>
          <w:rFonts w:cs="Tahoma"/>
          <w:lang w:val="mk-MK"/>
        </w:rPr>
        <w:t xml:space="preserve">оваа </w:t>
      </w:r>
      <w:r w:rsidR="00D41027" w:rsidRPr="00B63768">
        <w:rPr>
          <w:rFonts w:cs="Tahoma"/>
          <w:lang w:val="mk-MK"/>
        </w:rPr>
        <w:t xml:space="preserve">стапка е на нивото од 2006 година. Трендот на зголемување на нефункционалните кредити забави по првиот квартал, при што во мај оваа стапка изнесува 12%.  </w:t>
      </w: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t xml:space="preserve">Главен носител на зголемувањето се нефункционалните кредити на претпријатијата, кај кои </w:t>
      </w:r>
      <w:r w:rsidR="007100D8" w:rsidRPr="00B63768">
        <w:rPr>
          <w:rFonts w:cs="Tahoma"/>
          <w:lang w:val="mk-MK"/>
        </w:rPr>
        <w:t>учеството на нефункционалните кредити во вкупните кредити</w:t>
      </w:r>
      <w:r w:rsidRPr="00B63768">
        <w:rPr>
          <w:rFonts w:cs="Tahoma"/>
          <w:lang w:val="mk-MK"/>
        </w:rPr>
        <w:t xml:space="preserve"> се искачи на 15,2%. Кај домаќинствата, </w:t>
      </w:r>
      <w:r w:rsidR="007100D8" w:rsidRPr="00B63768">
        <w:rPr>
          <w:rFonts w:cs="Tahoma"/>
          <w:lang w:val="mk-MK"/>
        </w:rPr>
        <w:t>оваа стапка</w:t>
      </w:r>
      <w:r w:rsidRPr="00B63768">
        <w:rPr>
          <w:rFonts w:cs="Tahoma"/>
          <w:lang w:val="mk-MK"/>
        </w:rPr>
        <w:t xml:space="preserve"> бележи постепено намалување.</w:t>
      </w:r>
    </w:p>
    <w:p w:rsidR="00FC4076" w:rsidRPr="00B63768" w:rsidRDefault="00FC4076"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lastRenderedPageBreak/>
        <w:pict>
          <v:shape id="_x0000_s1039" type="#_x0000_t202" style="position:absolute;left:0;text-align:left;margin-left:-225.6pt;margin-top:-3.65pt;width:213.7pt;height:224.25pt;z-index:251676672">
            <v:textbox style="mso-next-textbox:#_x0000_s1039">
              <w:txbxContent>
                <w:p w:rsidR="006F63B5" w:rsidRDefault="006F63B5" w:rsidP="00D41027">
                  <w:pPr>
                    <w:pStyle w:val="Caption"/>
                  </w:pPr>
                  <w:r>
                    <w:t xml:space="preserve">Графикон бр. </w:t>
                  </w:r>
                  <w:fldSimple w:instr=" SEQ Графикон_бр. \* ARABIC ">
                    <w:r>
                      <w:rPr>
                        <w:noProof/>
                      </w:rPr>
                      <w:t>20</w:t>
                    </w:r>
                  </w:fldSimple>
                  <w:r>
                    <w:rPr>
                      <w:lang w:val="mk-MK"/>
                    </w:rPr>
                    <w:t xml:space="preserve"> Реструктурирана, пролонгирана и нето отпишана изложеност во текот на кварталите</w:t>
                  </w:r>
                </w:p>
                <w:p w:rsidR="006F63B5" w:rsidRPr="00901E10" w:rsidRDefault="006F63B5" w:rsidP="00D41027">
                  <w:pPr>
                    <w:rPr>
                      <w:lang w:val="mk-MK"/>
                    </w:rPr>
                  </w:pPr>
                  <w:r w:rsidRPr="00515F8C">
                    <w:rPr>
                      <w:noProof/>
                    </w:rPr>
                    <w:drawing>
                      <wp:inline distT="0" distB="0" distL="0" distR="0">
                        <wp:extent cx="2523226" cy="184785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521585" cy="1846648"/>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FC5FB1">
                    <w:rPr>
                      <w:b w:val="0"/>
                      <w:noProof/>
                    </w:rPr>
                    <w:t xml:space="preserve"> </w:t>
                  </w:r>
                  <w:r w:rsidRPr="00D20DE0">
                    <w:rPr>
                      <w:rFonts w:cs="Tahoma"/>
                      <w:b w:val="0"/>
                      <w:sz w:val="18"/>
                      <w:szCs w:val="18"/>
                      <w:lang w:val="mk-MK"/>
                    </w:rPr>
                    <w:t>врз основа на податоците доставени од страна на банките.</w:t>
                  </w:r>
                </w:p>
                <w:p w:rsidR="006F63B5" w:rsidRPr="00FC5FB1" w:rsidRDefault="006F63B5" w:rsidP="00D41027"/>
                <w:p w:rsidR="006F63B5" w:rsidRPr="00FC5FB1" w:rsidRDefault="006F63B5" w:rsidP="00D41027"/>
                <w:p w:rsidR="006F63B5" w:rsidRPr="00FC5FB1" w:rsidRDefault="006F63B5" w:rsidP="00D41027"/>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r w:rsidR="00D41027" w:rsidRPr="00B63768">
        <w:rPr>
          <w:rFonts w:cs="Tahoma"/>
          <w:lang w:val="mk-MK"/>
        </w:rPr>
        <w:t>Во првиот квартал од 2013 година, реструктурираните</w:t>
      </w:r>
      <w:r w:rsidR="00D41027" w:rsidRPr="00B63768">
        <w:rPr>
          <w:rStyle w:val="FootnoteReference"/>
          <w:rFonts w:cs="Tahoma"/>
          <w:lang w:val="mk-MK"/>
        </w:rPr>
        <w:footnoteReference w:id="20"/>
      </w:r>
      <w:r w:rsidR="00D41027" w:rsidRPr="00B63768">
        <w:rPr>
          <w:rFonts w:cs="Tahoma"/>
          <w:lang w:val="mk-MK"/>
        </w:rPr>
        <w:t xml:space="preserve"> и пролонгираните</w:t>
      </w:r>
      <w:r w:rsidR="00127F03" w:rsidRPr="00B63768">
        <w:rPr>
          <w:rStyle w:val="FootnoteReference"/>
          <w:rFonts w:cs="Tahoma"/>
          <w:lang w:val="mk-MK"/>
        </w:rPr>
        <w:footnoteReference w:id="21"/>
      </w:r>
      <w:r w:rsidR="00D41027" w:rsidRPr="00B63768">
        <w:rPr>
          <w:rFonts w:cs="Tahoma"/>
          <w:lang w:val="mk-MK"/>
        </w:rPr>
        <w:t xml:space="preserve"> побарувања забележаа надолни движења. По последователен раст во седум квартали, незначителното намалување на рестуктурираната изложеност во првиот квартал произлегува од претпријатијата. Сепак, </w:t>
      </w:r>
      <w:r w:rsidR="00A226D9" w:rsidRPr="00B63768">
        <w:rPr>
          <w:rFonts w:cs="Tahoma"/>
          <w:lang w:val="mk-MK"/>
        </w:rPr>
        <w:t>тие</w:t>
      </w:r>
      <w:r w:rsidR="00D41027" w:rsidRPr="00B63768">
        <w:rPr>
          <w:rFonts w:cs="Tahoma"/>
          <w:lang w:val="mk-MK"/>
        </w:rPr>
        <w:t xml:space="preserve"> зафаќаат 5,9% од вкупната кредитна изложеност кон претпријатијата. Пролонгираната кредитна изложеност продолжи да опаѓа, што </w:t>
      </w:r>
      <w:r w:rsidR="00FC4076" w:rsidRPr="00B63768">
        <w:rPr>
          <w:rFonts w:cs="Tahoma"/>
          <w:lang w:val="mk-MK"/>
        </w:rPr>
        <w:t xml:space="preserve">исто така </w:t>
      </w:r>
      <w:r w:rsidR="00D41027" w:rsidRPr="00B63768">
        <w:rPr>
          <w:rFonts w:cs="Tahoma"/>
          <w:lang w:val="mk-MK"/>
        </w:rPr>
        <w:t xml:space="preserve">се должи на нејзиното намалување кон претпријатијата. Но, просечното ниво на ризичност на реструктурираната и пролонгираната изложеност го продолжи нагорниот тренд и на крајот од првиот квартал изнесува 40,3% (на 31.12.2012 година, 39,5%) и 18,9%, соодветно (на 31.12.2012 година, 15,9%). Ваквиот нагорен тренд е </w:t>
      </w:r>
      <w:r w:rsidR="00A226D9" w:rsidRPr="00B63768">
        <w:rPr>
          <w:rFonts w:cs="Tahoma"/>
          <w:lang w:val="mk-MK"/>
        </w:rPr>
        <w:t xml:space="preserve">резултат на растот на нефункционалните реструктурирани и пролонгирани кредитни изложености, во услови на намалување на </w:t>
      </w:r>
      <w:r w:rsidR="00D617B3" w:rsidRPr="00B63768">
        <w:rPr>
          <w:rFonts w:cs="Tahoma"/>
          <w:lang w:val="mk-MK"/>
        </w:rPr>
        <w:t xml:space="preserve">овој вид </w:t>
      </w:r>
      <w:r w:rsidR="00A226D9" w:rsidRPr="00B63768">
        <w:rPr>
          <w:rFonts w:cs="Tahoma"/>
          <w:lang w:val="mk-MK"/>
        </w:rPr>
        <w:t>изложености</w:t>
      </w:r>
      <w:r w:rsidR="00D617B3" w:rsidRPr="00B63768">
        <w:rPr>
          <w:rFonts w:cs="Tahoma"/>
          <w:lang w:val="mk-MK"/>
        </w:rPr>
        <w:t xml:space="preserve"> со редовен статус</w:t>
      </w:r>
      <w:r w:rsidR="00D41027" w:rsidRPr="00B63768">
        <w:rPr>
          <w:rFonts w:cs="Tahoma"/>
          <w:lang w:val="mk-MK"/>
        </w:rPr>
        <w:t>.</w:t>
      </w:r>
    </w:p>
    <w:p w:rsidR="00D41027" w:rsidRPr="00B63768" w:rsidRDefault="00D41027"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pict>
          <v:shape id="_x0000_s1040" type="#_x0000_t202" style="position:absolute;left:0;text-align:left;margin-left:-225.6pt;margin-top:23.5pt;width:213.7pt;height:232pt;z-index:251677696">
            <v:textbox style="mso-next-textbox:#_x0000_s1040">
              <w:txbxContent>
                <w:p w:rsidR="006F63B5" w:rsidRDefault="006F63B5" w:rsidP="00D41027">
                  <w:pPr>
                    <w:pStyle w:val="Caption"/>
                  </w:pPr>
                  <w:r>
                    <w:t xml:space="preserve">Графикон бр. </w:t>
                  </w:r>
                  <w:fldSimple w:instr=" SEQ Графикон_бр. \* ARABIC ">
                    <w:r>
                      <w:rPr>
                        <w:noProof/>
                      </w:rPr>
                      <w:t>21</w:t>
                    </w:r>
                  </w:fldSimple>
                  <w:r>
                    <w:rPr>
                      <w:lang w:val="mk-MK"/>
                    </w:rPr>
                    <w:t xml:space="preserve"> Распределба на нефункционалните кредити на 31.3.2013 година, според периодот на одобрување</w:t>
                  </w:r>
                </w:p>
                <w:p w:rsidR="006F63B5" w:rsidRDefault="006F63B5">
                  <w:pPr>
                    <w:rPr>
                      <w:b/>
                      <w:sz w:val="18"/>
                      <w:szCs w:val="18"/>
                      <w:lang w:val="mk-MK"/>
                    </w:rPr>
                  </w:pPr>
                  <w:r>
                    <w:rPr>
                      <w:noProof/>
                    </w:rPr>
                    <w:drawing>
                      <wp:inline distT="0" distB="0" distL="0" distR="0">
                        <wp:extent cx="2547177" cy="1759789"/>
                        <wp:effectExtent l="19050" t="0" r="5523"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2541993" cy="1756207"/>
                                </a:xfrm>
                                <a:prstGeom prst="rect">
                                  <a:avLst/>
                                </a:prstGeom>
                                <a:noFill/>
                                <a:ln w="9525">
                                  <a:noFill/>
                                  <a:miter lim="800000"/>
                                  <a:headEnd/>
                                  <a:tailEnd/>
                                </a:ln>
                              </pic:spPr>
                            </pic:pic>
                          </a:graphicData>
                        </a:graphic>
                      </wp:inline>
                    </w:drawing>
                  </w:r>
                  <w:r w:rsidRPr="00C35A99">
                    <w:rPr>
                      <w:sz w:val="18"/>
                      <w:szCs w:val="18"/>
                      <w:lang w:val="mk-MK"/>
                    </w:rPr>
                    <w:t>Извор:</w:t>
                  </w:r>
                  <w:r w:rsidRPr="00C35A99">
                    <w:rPr>
                      <w:rFonts w:cs="Tahoma"/>
                      <w:sz w:val="18"/>
                      <w:szCs w:val="18"/>
                      <w:lang w:val="mk-MK"/>
                    </w:rPr>
                    <w:t xml:space="preserve"> Кредитен регистар на Народната банка, врз основа на податоците доставени од страна на банките.</w:t>
                  </w:r>
                </w:p>
                <w:p w:rsidR="006F63B5" w:rsidRPr="00FC5FB1" w:rsidRDefault="006F63B5" w:rsidP="00D41027"/>
                <w:p w:rsidR="006F63B5" w:rsidRPr="00FC5FB1" w:rsidRDefault="006F63B5" w:rsidP="00D41027"/>
                <w:p w:rsidR="006F63B5" w:rsidRPr="00FC5FB1" w:rsidRDefault="006F63B5" w:rsidP="00D41027">
                  <w:pPr>
                    <w:pStyle w:val="Caption"/>
                    <w:rPr>
                      <w:b w:val="0"/>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FC5FB1" w:rsidRDefault="006F63B5" w:rsidP="00D41027">
                  <w:pPr>
                    <w:pStyle w:val="Caption"/>
                    <w:rPr>
                      <w:b w:val="0"/>
                      <w:sz w:val="18"/>
                      <w:szCs w:val="18"/>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r w:rsidR="00D41027" w:rsidRPr="00B63768">
        <w:rPr>
          <w:rFonts w:cs="Tahoma"/>
          <w:lang w:val="mk-MK"/>
        </w:rPr>
        <w:t>Отписите коишто ги вршеа банките во првиот квартал од 2013 година се на ниско ниво, но сепак поголеми во однос на истиот квартал претходната година. Секторот „претпријатија“ има најголемо учество во вкупните отпишани побарувања (53,8%), додека во вкупната наплата на веќе отпишаните побарувања најзастапени се физичките лица (со 52,9%).</w:t>
      </w: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t xml:space="preserve">Според периодот на одобрување, 14,3% од вкупните нефункционални кредити </w:t>
      </w:r>
      <w:r w:rsidR="00A226D9" w:rsidRPr="00B63768">
        <w:rPr>
          <w:rFonts w:cs="Tahoma"/>
          <w:lang w:val="mk-MK"/>
        </w:rPr>
        <w:t>со состојба на</w:t>
      </w:r>
      <w:r w:rsidRPr="00B63768">
        <w:rPr>
          <w:rFonts w:cs="Tahoma"/>
          <w:lang w:val="mk-MK"/>
        </w:rPr>
        <w:t xml:space="preserve"> </w:t>
      </w:r>
      <w:r w:rsidR="00A226D9" w:rsidRPr="00B63768">
        <w:rPr>
          <w:rFonts w:cs="Tahoma"/>
          <w:lang w:val="mk-MK"/>
        </w:rPr>
        <w:t>31.3.</w:t>
      </w:r>
      <w:r w:rsidRPr="00B63768">
        <w:rPr>
          <w:rFonts w:cs="Tahoma"/>
          <w:lang w:val="mk-MK"/>
        </w:rPr>
        <w:t xml:space="preserve">2013 година, се одобрени во претходната година, и тоа најмногу во првиот квартал. Притоа, 93,8% од нефункционалните кредити на 31.3.2013 коишто се одобрени во 2012 година се кон секторот „претпријатија“. </w:t>
      </w: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lastRenderedPageBreak/>
        <w:t>Паралелно со растот на нефункционалните кредити, се зголеми и вкупната утврдена исправка на вредноста на банките за 1.540 милиони денари (5,8%), при што 86,0% од овој раст произлегува</w:t>
      </w:r>
      <w:r w:rsidR="003259F8">
        <w:rPr>
          <w:rFonts w:cs="Tahoma"/>
          <w:lang w:val="mk-MK"/>
        </w:rPr>
        <w:t>ат</w:t>
      </w:r>
      <w:r w:rsidRPr="00B63768">
        <w:rPr>
          <w:rFonts w:cs="Tahoma"/>
          <w:lang w:val="mk-MK"/>
        </w:rPr>
        <w:t xml:space="preserve"> од исправката на вредноста за кредитната изложеност кон секторот „претпријатија“. Најголем придонес за растот на исправката на вредноста и посебната резерва имаат дејностите „производство на метали, машини, алати и опрема“ и „трговија на големо и мало“, коишто бележат и најголем раст </w:t>
      </w:r>
      <w:r w:rsidR="003259F8">
        <w:rPr>
          <w:rFonts w:cs="Tahoma"/>
          <w:lang w:val="mk-MK"/>
        </w:rPr>
        <w:t>кај</w:t>
      </w:r>
      <w:r w:rsidR="003259F8" w:rsidRPr="00B63768">
        <w:rPr>
          <w:rFonts w:cs="Tahoma"/>
          <w:lang w:val="mk-MK"/>
        </w:rPr>
        <w:t xml:space="preserve"> </w:t>
      </w:r>
      <w:r w:rsidRPr="00B63768">
        <w:rPr>
          <w:rFonts w:cs="Tahoma"/>
          <w:lang w:val="mk-MK"/>
        </w:rPr>
        <w:t xml:space="preserve">нефункционалните кредити. </w:t>
      </w:r>
    </w:p>
    <w:p w:rsidR="00D41027" w:rsidRPr="00B63768" w:rsidRDefault="00D41027"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pict>
          <v:shape id="_x0000_s1041" type="#_x0000_t202" style="position:absolute;left:0;text-align:left;margin-left:-223.6pt;margin-top:9.2pt;width:213.7pt;height:254.25pt;z-index:251678720">
            <v:textbox style="mso-next-textbox:#_x0000_s1041">
              <w:txbxContent>
                <w:p w:rsidR="006F63B5" w:rsidRDefault="006F63B5" w:rsidP="00D41027">
                  <w:pPr>
                    <w:pStyle w:val="Caption"/>
                  </w:pPr>
                  <w:r>
                    <w:t xml:space="preserve">Графикон бр. </w:t>
                  </w:r>
                  <w:fldSimple w:instr=" SEQ Графикон_бр. \* ARABIC ">
                    <w:r>
                      <w:rPr>
                        <w:noProof/>
                      </w:rPr>
                      <w:t>22</w:t>
                    </w:r>
                  </w:fldSimple>
                  <w:r>
                    <w:rPr>
                      <w:lang w:val="mk-MK"/>
                    </w:rPr>
                    <w:t xml:space="preserve"> Покриеност на нефункционалните кредити и учество на нето нефункционалните кредити во сопствените средства на банките</w:t>
                  </w:r>
                </w:p>
                <w:p w:rsidR="006F63B5" w:rsidRPr="00901E10" w:rsidRDefault="006F63B5" w:rsidP="00D41027">
                  <w:pPr>
                    <w:rPr>
                      <w:lang w:val="mk-MK"/>
                    </w:rPr>
                  </w:pPr>
                  <w:r w:rsidRPr="004D5FEA">
                    <w:rPr>
                      <w:noProof/>
                    </w:rPr>
                    <w:drawing>
                      <wp:inline distT="0" distB="0" distL="0" distR="0">
                        <wp:extent cx="2524124" cy="207645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521585" cy="2074361"/>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r w:rsidR="00D41027" w:rsidRPr="00B63768">
        <w:rPr>
          <w:rFonts w:cs="Tahoma"/>
          <w:lang w:val="mk-MK"/>
        </w:rPr>
        <w:t>Сепак, порастот на исправката на вредноста не беше со ист интензитет како растот на нефункционалните кредити, што услови намалување на покриеноста на нефункционалните кредити со вкупната утврдена исправка на вредноста</w:t>
      </w:r>
      <w:r w:rsidR="00FA627C" w:rsidRPr="00B63768">
        <w:rPr>
          <w:rFonts w:cs="Tahoma"/>
          <w:lang w:val="mk-MK"/>
        </w:rPr>
        <w:t xml:space="preserve">, </w:t>
      </w:r>
      <w:r w:rsidR="007100D8" w:rsidRPr="00B63768">
        <w:rPr>
          <w:rFonts w:cs="Tahoma"/>
          <w:lang w:val="mk-MK"/>
        </w:rPr>
        <w:t>но</w:t>
      </w:r>
      <w:r w:rsidR="00FA627C" w:rsidRPr="00B63768">
        <w:rPr>
          <w:rFonts w:cs="Tahoma"/>
          <w:lang w:val="mk-MK"/>
        </w:rPr>
        <w:t xml:space="preserve"> таа и натаму се одржува на високо ниво од 100,6%</w:t>
      </w:r>
      <w:r w:rsidR="00D41027" w:rsidRPr="00B63768">
        <w:rPr>
          <w:rFonts w:cs="Tahoma"/>
          <w:lang w:val="mk-MK"/>
        </w:rPr>
        <w:t xml:space="preserve"> На 31.3.2013 година се намали и покриеноста на нефункционалните кредити само со исправката на вредноста утврдена за нив на 75,8% (79,0% на 31.12.2012 година). Нерезервираниот дел од нефункционалните кредити го зголеми своето учество во вкупните сопствени средства на банкарскиот систем, но сè уште е на ниско ниво. Така, при хипотетичка целосна ненаплатливост на нефункционалните кредити, сопствените средства </w:t>
      </w:r>
      <w:r w:rsidR="00EF1A8F" w:rsidRPr="00B63768">
        <w:rPr>
          <w:rFonts w:cs="Tahoma"/>
          <w:lang w:val="mk-MK"/>
        </w:rPr>
        <w:t xml:space="preserve">на крајот на овој квартал </w:t>
      </w:r>
      <w:r w:rsidR="00D41027" w:rsidRPr="00B63768">
        <w:rPr>
          <w:rFonts w:cs="Tahoma"/>
          <w:lang w:val="mk-MK"/>
        </w:rPr>
        <w:t xml:space="preserve">би се намалиле за 14,1%, во однос на 10,7% колку што беше намалувањето </w:t>
      </w:r>
      <w:r w:rsidR="00EF1A8F" w:rsidRPr="00B63768">
        <w:rPr>
          <w:rFonts w:cs="Tahoma"/>
          <w:lang w:val="mk-MK"/>
        </w:rPr>
        <w:t xml:space="preserve">на крајот на </w:t>
      </w:r>
      <w:r w:rsidR="00D41027" w:rsidRPr="00B63768">
        <w:rPr>
          <w:rFonts w:cs="Tahoma"/>
          <w:lang w:val="mk-MK"/>
        </w:rPr>
        <w:t>последниот квартал од 2012 година. И покрај кварталното зголемување на учеството на нерезервираниот дел од нефункционалните кредити во сопствените средства, не би дошло до загрозување на адекватноста на капиталот на банкарскиот систем (стапката на адекватност би се намалила од 17,3% на 14,9%) и на по</w:t>
      </w:r>
      <w:r w:rsidR="00B92736">
        <w:rPr>
          <w:rFonts w:cs="Tahoma"/>
          <w:lang w:val="mk-MK"/>
        </w:rPr>
        <w:t>е</w:t>
      </w:r>
      <w:r w:rsidR="00D41027" w:rsidRPr="00B63768">
        <w:rPr>
          <w:rFonts w:cs="Tahoma"/>
          <w:lang w:val="mk-MK"/>
        </w:rPr>
        <w:t>динечните банки (ниту кај една банка не би паднала под 8%).</w:t>
      </w: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t xml:space="preserve">Во првиот квартал од 2013 година се зголеми и просечното ниво на ризичност на кредитното портфолио на банкарскиот систем, што е резултат на поголемиот раст на </w:t>
      </w:r>
      <w:r w:rsidRPr="00B63768">
        <w:rPr>
          <w:rFonts w:cs="Tahoma"/>
          <w:lang w:val="mk-MK"/>
        </w:rPr>
        <w:lastRenderedPageBreak/>
        <w:t>исправката на вредноста од растот на вкупната кредитна изложеност. Наспроти ова, просечното ниво на ризичност на редовните кредити се намали, што произлегува од растот на редовните кредити при истовремено намалување на исправката на вредноста утврдена за нив.</w:t>
      </w:r>
      <w:r w:rsidR="00F8325E" w:rsidRPr="00B63768">
        <w:rPr>
          <w:rFonts w:cs="Tahoma"/>
          <w:lang w:val="mk-MK"/>
        </w:rPr>
        <w:t xml:space="preserve"> Најголем дел од намалувањето на исправката на вредноста за редовните кредити се должи на кварталното намалување на изложеноста во категорија на ризик „Б“ за 2,3%</w:t>
      </w:r>
      <w:r w:rsidR="00F8325E" w:rsidRPr="00B63768">
        <w:rPr>
          <w:rStyle w:val="FootnoteReference"/>
          <w:rFonts w:cs="Tahoma"/>
          <w:lang w:val="mk-MK"/>
        </w:rPr>
        <w:footnoteReference w:id="22"/>
      </w:r>
      <w:r w:rsidR="00F8325E" w:rsidRPr="00B63768">
        <w:rPr>
          <w:rFonts w:cs="Tahoma"/>
          <w:lang w:val="mk-MK"/>
        </w:rPr>
        <w:t>.</w:t>
      </w:r>
    </w:p>
    <w:p w:rsidR="00D41027" w:rsidRPr="00B63768" w:rsidRDefault="00040D2C" w:rsidP="00D41027">
      <w:pPr>
        <w:rPr>
          <w:rFonts w:cs="Tahoma"/>
          <w:lang w:val="mk-MK"/>
        </w:rPr>
      </w:pPr>
      <w:r w:rsidRPr="00040D2C">
        <w:rPr>
          <w:rFonts w:cs="Tahoma"/>
          <w:lang w:val="mk-MK"/>
        </w:rPr>
        <w:pict>
          <v:shape id="_x0000_s1042" type="#_x0000_t202" style="position:absolute;left:0;text-align:left;margin-left:-226.75pt;margin-top:-156.9pt;width:213.7pt;height:225.75pt;z-index:251679744">
            <v:textbox style="mso-next-textbox:#_x0000_s1042">
              <w:txbxContent>
                <w:p w:rsidR="006F63B5" w:rsidRDefault="006F63B5" w:rsidP="00D41027">
                  <w:pPr>
                    <w:pStyle w:val="Caption"/>
                  </w:pPr>
                  <w:r>
                    <w:t xml:space="preserve">Графикон бр. </w:t>
                  </w:r>
                  <w:fldSimple w:instr=" SEQ Графикон_бр. \* ARABIC ">
                    <w:r>
                      <w:rPr>
                        <w:noProof/>
                      </w:rPr>
                      <w:t>23</w:t>
                    </w:r>
                  </w:fldSimple>
                  <w:r>
                    <w:rPr>
                      <w:lang w:val="mk-MK"/>
                    </w:rPr>
                    <w:t xml:space="preserve"> Просечно ниво на ризичност за вкупната кредитна изложеност и за редовните кредити</w:t>
                  </w:r>
                </w:p>
                <w:p w:rsidR="006F63B5" w:rsidRPr="00901E10" w:rsidRDefault="006F63B5" w:rsidP="00D41027">
                  <w:pPr>
                    <w:rPr>
                      <w:lang w:val="mk-MK"/>
                    </w:rPr>
                  </w:pPr>
                  <w:r w:rsidRPr="004D5FEA">
                    <w:rPr>
                      <w:noProof/>
                    </w:rPr>
                    <w:drawing>
                      <wp:inline distT="0" distB="0" distL="0" distR="0">
                        <wp:extent cx="2524125" cy="18478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2524125" cy="1847850"/>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p>
    <w:p w:rsidR="00D41027" w:rsidRPr="00B63768" w:rsidRDefault="00D41027" w:rsidP="00D41027">
      <w:pPr>
        <w:ind w:firstLine="567"/>
        <w:rPr>
          <w:rFonts w:cs="Tahoma"/>
          <w:lang w:val="mk-MK"/>
        </w:rPr>
      </w:pPr>
      <w:r w:rsidRPr="00B63768">
        <w:rPr>
          <w:rFonts w:cs="Tahoma"/>
          <w:lang w:val="mk-MK"/>
        </w:rPr>
        <w:t>Кредитниот ризик е највисок кај дејноста „објекти за сместување и сервисни дејности со храна“ (од секторот „претпријатија“) и кај автомобилските кредити (од секторот „домаќинства“) (анекс бр</w:t>
      </w:r>
      <w:r w:rsidR="004812D5" w:rsidRPr="00B63768">
        <w:rPr>
          <w:rFonts w:cs="Tahoma"/>
          <w:lang w:val="mk-MK"/>
        </w:rPr>
        <w:t xml:space="preserve">. 23 </w:t>
      </w:r>
      <w:r w:rsidRPr="00B63768">
        <w:rPr>
          <w:rFonts w:cs="Tahoma"/>
          <w:lang w:val="mk-MK"/>
        </w:rPr>
        <w:t>и бр</w:t>
      </w:r>
      <w:r w:rsidR="004812D5" w:rsidRPr="00B63768">
        <w:rPr>
          <w:rFonts w:cs="Tahoma"/>
          <w:lang w:val="mk-MK"/>
        </w:rPr>
        <w:t xml:space="preserve">. 24), </w:t>
      </w:r>
      <w:r w:rsidRPr="00B63768">
        <w:rPr>
          <w:rFonts w:cs="Tahoma"/>
          <w:lang w:val="mk-MK"/>
        </w:rPr>
        <w:t>но значително зголемување на ризикот се забележува и кај дејностите „образование“ и „производство на метали, машини, алати и опрема“. Според валутната структура</w:t>
      </w:r>
      <w:r w:rsidR="003259F8">
        <w:rPr>
          <w:rFonts w:cs="Tahoma"/>
          <w:lang w:val="mk-MK"/>
        </w:rPr>
        <w:t>,</w:t>
      </w:r>
      <w:r w:rsidRPr="00B63768">
        <w:rPr>
          <w:rFonts w:cs="Tahoma"/>
          <w:lang w:val="mk-MK"/>
        </w:rPr>
        <w:t xml:space="preserve"> и понатаму најризична е кредитната изложеност во денари со девизна клаузула (анекс бр.</w:t>
      </w:r>
      <w:r w:rsidR="004812D5" w:rsidRPr="00B63768">
        <w:rPr>
          <w:rFonts w:cs="Tahoma"/>
          <w:lang w:val="mk-MK"/>
        </w:rPr>
        <w:t xml:space="preserve"> 22</w:t>
      </w:r>
      <w:r w:rsidRPr="00B63768">
        <w:rPr>
          <w:rFonts w:cs="Tahoma"/>
          <w:lang w:val="mk-MK"/>
        </w:rPr>
        <w:t>).</w:t>
      </w: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t xml:space="preserve">Во првиот квартал од 2013 година, кредитната изложеност со редовен статус зафаќа најголем дел (92,5%) </w:t>
      </w:r>
      <w:r w:rsidR="002F3736" w:rsidRPr="00B63768">
        <w:rPr>
          <w:rFonts w:cs="Tahoma"/>
          <w:lang w:val="mk-MK"/>
        </w:rPr>
        <w:t xml:space="preserve">од </w:t>
      </w:r>
      <w:r w:rsidRPr="00B63768">
        <w:rPr>
          <w:rFonts w:cs="Tahoma"/>
          <w:lang w:val="mk-MK"/>
        </w:rPr>
        <w:t>структурата на вкупната кредитна изложеност. Сепак, изложеностите класифицирани во категориите на ризик „А“, „Б “ и „В редовни</w:t>
      </w:r>
      <w:r w:rsidR="002F3736" w:rsidRPr="00B63768">
        <w:rPr>
          <w:rFonts w:cs="Tahoma"/>
          <w:lang w:val="mk-MK"/>
        </w:rPr>
        <w:t>“</w:t>
      </w:r>
      <w:r w:rsidRPr="00B63768">
        <w:rPr>
          <w:rFonts w:cs="Tahoma"/>
          <w:lang w:val="mk-MK"/>
        </w:rPr>
        <w:t xml:space="preserve"> бележат намалено учество во однос на претходниот квартал (93,2% на 31.12.2012 година), како резултат на зголеменото присуство на кредитната изложеност со нефункционален статус (7,5%, наспроти 6,8% на 31.12.2012 година).</w:t>
      </w:r>
    </w:p>
    <w:p w:rsidR="00D41027" w:rsidRPr="00B63768" w:rsidRDefault="00D41027" w:rsidP="00D41027">
      <w:pPr>
        <w:ind w:firstLine="567"/>
        <w:rPr>
          <w:rFonts w:cs="Tahoma"/>
          <w:lang w:val="mk-MK"/>
        </w:rPr>
      </w:pPr>
    </w:p>
    <w:p w:rsidR="00FE16F9" w:rsidRPr="00B63768" w:rsidRDefault="00FE16F9" w:rsidP="00FE16F9">
      <w:pPr>
        <w:ind w:firstLine="720"/>
        <w:rPr>
          <w:rFonts w:cs="Tahoma"/>
          <w:lang w:val="mk-MK"/>
        </w:rPr>
      </w:pPr>
      <w:r w:rsidRPr="00B63768">
        <w:rPr>
          <w:rFonts w:cs="Tahoma"/>
          <w:lang w:val="mk-MK"/>
        </w:rPr>
        <w:t>Резултатите од транзициските матрици (анекс бр</w:t>
      </w:r>
      <w:r w:rsidR="004812D5" w:rsidRPr="00B63768">
        <w:rPr>
          <w:rFonts w:cs="Tahoma"/>
          <w:lang w:val="mk-MK"/>
        </w:rPr>
        <w:t>.</w:t>
      </w:r>
      <w:r w:rsidR="002F3736" w:rsidRPr="00B63768">
        <w:rPr>
          <w:rFonts w:cs="Tahoma"/>
          <w:lang w:val="mk-MK"/>
        </w:rPr>
        <w:t xml:space="preserve"> </w:t>
      </w:r>
      <w:r w:rsidR="004812D5" w:rsidRPr="00B63768">
        <w:rPr>
          <w:rFonts w:cs="Tahoma"/>
          <w:lang w:val="mk-MK"/>
        </w:rPr>
        <w:t xml:space="preserve">20) </w:t>
      </w:r>
      <w:r w:rsidRPr="00B63768">
        <w:rPr>
          <w:rFonts w:cs="Tahoma"/>
          <w:lang w:val="mk-MK"/>
        </w:rPr>
        <w:t>покажуваат зголемен процент на премин на кредитната изложеност со редовен статус, во изложеност со нефункционален статус (2,0%, наспроти 1,1% во последниот квартал од 2012 година)</w:t>
      </w:r>
      <w:r w:rsidRPr="00B63768">
        <w:rPr>
          <w:rStyle w:val="FootnoteReference"/>
          <w:rFonts w:cs="Tahoma"/>
          <w:lang w:val="mk-MK"/>
        </w:rPr>
        <w:footnoteReference w:id="23"/>
      </w:r>
      <w:r w:rsidRPr="00B63768">
        <w:rPr>
          <w:rFonts w:cs="Tahoma"/>
          <w:lang w:val="mk-MK"/>
        </w:rPr>
        <w:t xml:space="preserve">. Во </w:t>
      </w:r>
      <w:r w:rsidRPr="00B63768">
        <w:rPr>
          <w:rFonts w:cs="Tahoma"/>
          <w:lang w:val="mk-MK"/>
        </w:rPr>
        <w:lastRenderedPageBreak/>
        <w:t>првиот квартал од 2013 година, значително се зголеми делот од кредитните изложености кон претпријатијата класифицирани во категоријата „Б“, коишто во период од еден квартал добиваат нефункционален статус (од 2,0% во последниот квартал од 2012 година, на 14,8% во овој квартал)</w:t>
      </w:r>
      <w:r w:rsidR="00FC4076" w:rsidRPr="00B63768">
        <w:rPr>
          <w:rStyle w:val="FootnoteReference"/>
          <w:rFonts w:cs="Tahoma"/>
          <w:lang w:val="mk-MK"/>
        </w:rPr>
        <w:footnoteReference w:id="24"/>
      </w:r>
      <w:r w:rsidRPr="00B63768">
        <w:rPr>
          <w:rFonts w:cs="Tahoma"/>
          <w:lang w:val="mk-MK"/>
        </w:rPr>
        <w:t>. Кај кредитните изложености кон претпријатијата и домаќинствата во категориите на ризик „А“ и „В“ со редовен статус се забележува намален</w:t>
      </w:r>
      <w:r w:rsidR="009F0FE5">
        <w:rPr>
          <w:rFonts w:cs="Tahoma"/>
          <w:lang w:val="mk-MK"/>
        </w:rPr>
        <w:t>о</w:t>
      </w:r>
      <w:r w:rsidRPr="00B63768">
        <w:rPr>
          <w:rFonts w:cs="Tahoma"/>
          <w:lang w:val="mk-MK"/>
        </w:rPr>
        <w:t xml:space="preserve"> премин</w:t>
      </w:r>
      <w:r w:rsidR="009F0FE5">
        <w:rPr>
          <w:rFonts w:cs="Tahoma"/>
          <w:lang w:val="mk-MK"/>
        </w:rPr>
        <w:t>ување во изложеност</w:t>
      </w:r>
      <w:r w:rsidRPr="00B63768">
        <w:rPr>
          <w:rFonts w:cs="Tahoma"/>
          <w:lang w:val="mk-MK"/>
        </w:rPr>
        <w:t xml:space="preserve"> </w:t>
      </w:r>
      <w:r w:rsidR="009F0FE5">
        <w:rPr>
          <w:rFonts w:cs="Tahoma"/>
          <w:lang w:val="mk-MK"/>
        </w:rPr>
        <w:t>с</w:t>
      </w:r>
      <w:r w:rsidR="009F0FE5" w:rsidRPr="00B63768">
        <w:rPr>
          <w:rFonts w:cs="Tahoma"/>
          <w:lang w:val="mk-MK"/>
        </w:rPr>
        <w:t xml:space="preserve">о </w:t>
      </w:r>
      <w:r w:rsidRPr="00B63768">
        <w:rPr>
          <w:rFonts w:cs="Tahoma"/>
          <w:lang w:val="mk-MK"/>
        </w:rPr>
        <w:t xml:space="preserve">нефункционален статус.  </w:t>
      </w:r>
    </w:p>
    <w:p w:rsidR="002F3736" w:rsidRPr="00B63768" w:rsidRDefault="00040D2C" w:rsidP="00D41027">
      <w:pPr>
        <w:ind w:firstLine="567"/>
        <w:rPr>
          <w:rFonts w:cs="Tahoma"/>
          <w:lang w:val="mk-MK"/>
        </w:rPr>
      </w:pPr>
      <w:r w:rsidRPr="00040D2C">
        <w:rPr>
          <w:rFonts w:cs="Tahoma"/>
          <w:lang w:val="mk-MK"/>
        </w:rPr>
        <w:pict>
          <v:shape id="_x0000_s1043" type="#_x0000_t202" style="position:absolute;left:0;text-align:left;margin-left:-221.85pt;margin-top:12.95pt;width:467pt;height:387.3pt;z-index:251680768">
            <v:textbox style="mso-next-textbox:#_x0000_s1043">
              <w:txbxContent>
                <w:p w:rsidR="006F63B5" w:rsidRPr="00F02C06" w:rsidRDefault="006F63B5" w:rsidP="00D41027">
                  <w:pPr>
                    <w:pStyle w:val="Caption"/>
                    <w:rPr>
                      <w:lang w:val="mk-MK"/>
                    </w:rPr>
                  </w:pPr>
                  <w:r>
                    <w:t xml:space="preserve">Графикон бр. </w:t>
                  </w:r>
                  <w:fldSimple w:instr=" SEQ Графикон_бр. \* ARABIC ">
                    <w:r>
                      <w:rPr>
                        <w:noProof/>
                      </w:rPr>
                      <w:t>24</w:t>
                    </w:r>
                  </w:fldSimple>
                  <w:r>
                    <w:rPr>
                      <w:lang w:val="mk-MK"/>
                    </w:rPr>
                    <w:t xml:space="preserve"> Кредитна изложеност (состојба и структура) според категоријата на ризик (лево) и преминување на кредитната изложеност </w:t>
                  </w:r>
                  <w:r w:rsidRPr="00B63768">
                    <w:rPr>
                      <w:rFonts w:cs="Tahoma"/>
                      <w:lang w:val="mk-MK"/>
                    </w:rPr>
                    <w:t xml:space="preserve">со редовен статус во изложеност со </w:t>
                  </w:r>
                  <w:r>
                    <w:rPr>
                      <w:lang w:val="mk-MK"/>
                    </w:rPr>
                    <w:t>нефункционален статус (десно)</w:t>
                  </w:r>
                </w:p>
                <w:p w:rsidR="006F63B5" w:rsidRPr="009A1A99" w:rsidRDefault="006F63B5" w:rsidP="00D41027">
                  <w:pPr>
                    <w:pStyle w:val="Caption"/>
                    <w:rPr>
                      <w:b w:val="0"/>
                      <w:sz w:val="18"/>
                      <w:szCs w:val="18"/>
                      <w:lang w:val="mk-MK"/>
                    </w:rPr>
                  </w:pPr>
                  <w:r w:rsidRPr="00CF55ED">
                    <w:rPr>
                      <w:noProof/>
                      <w:szCs w:val="18"/>
                    </w:rPr>
                    <w:drawing>
                      <wp:inline distT="0" distB="0" distL="0" distR="0">
                        <wp:extent cx="5738495" cy="379554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5738495" cy="3795540"/>
                                </a:xfrm>
                                <a:prstGeom prst="rect">
                                  <a:avLst/>
                                </a:prstGeom>
                                <a:noFill/>
                                <a:ln w="9525">
                                  <a:noFill/>
                                  <a:miter lim="800000"/>
                                  <a:headEnd/>
                                  <a:tailEnd/>
                                </a:ln>
                              </pic:spPr>
                            </pic:pic>
                          </a:graphicData>
                        </a:graphic>
                      </wp:inline>
                    </w:drawing>
                  </w:r>
                </w:p>
                <w:p w:rsidR="006F63B5" w:rsidRDefault="006F63B5" w:rsidP="00D41027">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w:t>
                  </w:r>
                  <w:r w:rsidRPr="00B310B4">
                    <w:rPr>
                      <w:rFonts w:cs="Tahoma"/>
                      <w:b w:val="0"/>
                      <w:sz w:val="18"/>
                      <w:szCs w:val="18"/>
                      <w:lang w:val="mk-MK"/>
                    </w:rPr>
                    <w:t xml:space="preserve">Кредитен регистар на </w:t>
                  </w:r>
                  <w:r>
                    <w:rPr>
                      <w:rFonts w:cs="Tahoma"/>
                      <w:b w:val="0"/>
                      <w:sz w:val="18"/>
                      <w:szCs w:val="18"/>
                      <w:lang w:val="mk-MK"/>
                    </w:rPr>
                    <w:t>Народната банка</w:t>
                  </w:r>
                  <w:r w:rsidRPr="00A72927">
                    <w:rPr>
                      <w:rFonts w:cs="Tahoma"/>
                      <w:b w:val="0"/>
                      <w:sz w:val="18"/>
                      <w:szCs w:val="18"/>
                      <w:lang w:val="mk-MK"/>
                    </w:rPr>
                    <w:t>,</w:t>
                  </w:r>
                  <w:r w:rsidRPr="00D22DB7">
                    <w:rPr>
                      <w:noProof/>
                      <w:lang w:val="mk-MK"/>
                    </w:rPr>
                    <w:t xml:space="preserve"> </w:t>
                  </w:r>
                  <w:r w:rsidRPr="00A72927">
                    <w:rPr>
                      <w:rFonts w:cs="Tahoma"/>
                      <w:b w:val="0"/>
                      <w:sz w:val="18"/>
                      <w:szCs w:val="18"/>
                      <w:lang w:val="mk-MK"/>
                    </w:rPr>
                    <w:t>врз основа на податоците доставени од страна на банките.</w:t>
                  </w:r>
                </w:p>
                <w:p w:rsidR="006F63B5" w:rsidRPr="00497B3F" w:rsidRDefault="006F63B5" w:rsidP="00D41027">
                  <w:pPr>
                    <w:rPr>
                      <w:sz w:val="18"/>
                      <w:szCs w:val="18"/>
                      <w:lang w:val="mk-MK"/>
                    </w:rPr>
                  </w:pPr>
                  <w:r w:rsidRPr="00497B3F">
                    <w:rPr>
                      <w:sz w:val="18"/>
                      <w:szCs w:val="18"/>
                      <w:lang w:val="mk-MK"/>
                    </w:rPr>
                    <w:t>*</w:t>
                  </w:r>
                  <w:r>
                    <w:rPr>
                      <w:sz w:val="18"/>
                      <w:szCs w:val="18"/>
                      <w:lang w:val="mk-MK"/>
                    </w:rPr>
                    <w:t xml:space="preserve"> Процентите во десниот графикон се пресметани како сооднос меѓу кредитната изложеност</w:t>
                  </w:r>
                  <w:r w:rsidRPr="00497B3F">
                    <w:rPr>
                      <w:sz w:val="18"/>
                      <w:szCs w:val="18"/>
                      <w:lang w:val="mk-MK"/>
                    </w:rPr>
                    <w:t xml:space="preserve"> </w:t>
                  </w:r>
                  <w:r>
                    <w:rPr>
                      <w:sz w:val="18"/>
                      <w:szCs w:val="18"/>
                      <w:lang w:val="mk-MK"/>
                    </w:rPr>
                    <w:t>којашто добила нефункционален статус на крајот на кварталот и кредитната изложеност на почетокот на анализираниот квартал. Не е вклучена кредитната изложеност одобрена во текот на кварталот.</w:t>
                  </w: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rPr>
                      <w:lang w:val="mk-MK"/>
                    </w:rPr>
                  </w:pPr>
                </w:p>
                <w:p w:rsidR="006F63B5" w:rsidRPr="00303B89" w:rsidRDefault="006F63B5" w:rsidP="00D41027">
                  <w:pPr>
                    <w:rPr>
                      <w:lang w:val="mk-MK"/>
                    </w:rPr>
                  </w:pPr>
                </w:p>
                <w:p w:rsidR="006F63B5" w:rsidRDefault="006F63B5" w:rsidP="00D41027">
                  <w:pPr>
                    <w:pStyle w:val="Caption"/>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txbxContent>
            </v:textbox>
            <w10:wrap type="square"/>
          </v:shape>
        </w:pict>
      </w:r>
    </w:p>
    <w:p w:rsidR="005E2C11" w:rsidRPr="00B63768" w:rsidRDefault="00040D2C" w:rsidP="00D41027">
      <w:pPr>
        <w:ind w:firstLine="567"/>
        <w:rPr>
          <w:rFonts w:cs="Tahoma"/>
          <w:lang w:val="mk-MK"/>
        </w:rPr>
      </w:pPr>
      <w:r w:rsidRPr="00040D2C">
        <w:rPr>
          <w:rFonts w:cs="Tahoma"/>
          <w:lang w:val="mk-MK"/>
        </w:rPr>
        <w:lastRenderedPageBreak/>
        <w:pict>
          <v:shape id="_x0000_s1044" type="#_x0000_t202" style="position:absolute;left:0;text-align:left;margin-left:-225.7pt;margin-top:-11.35pt;width:213.7pt;height:389.9pt;z-index:251681792">
            <v:textbox style="mso-next-textbox:#_x0000_s1044">
              <w:txbxContent>
                <w:p w:rsidR="006F63B5" w:rsidRDefault="006F63B5" w:rsidP="00D41027">
                  <w:pPr>
                    <w:pStyle w:val="Caption"/>
                  </w:pPr>
                  <w:r>
                    <w:t xml:space="preserve">Графикон бр. </w:t>
                  </w:r>
                  <w:fldSimple w:instr=" SEQ Графикон_бр. \* ARABIC ">
                    <w:r>
                      <w:rPr>
                        <w:noProof/>
                      </w:rPr>
                      <w:t>25</w:t>
                    </w:r>
                  </w:fldSimple>
                  <w:r>
                    <w:rPr>
                      <w:lang w:val="mk-MK"/>
                    </w:rPr>
                    <w:t xml:space="preserve"> Структура на кредитната изложеност кон нефинансиските субјекти, според рокот на достасување на главницата </w:t>
                  </w:r>
                </w:p>
                <w:p w:rsidR="006F63B5" w:rsidRPr="00901E10" w:rsidRDefault="006F63B5" w:rsidP="00D41027">
                  <w:pPr>
                    <w:rPr>
                      <w:lang w:val="mk-MK"/>
                    </w:rPr>
                  </w:pPr>
                  <w:r w:rsidRPr="00E567FA">
                    <w:rPr>
                      <w:noProof/>
                    </w:rPr>
                    <w:drawing>
                      <wp:inline distT="0" distB="0" distL="0" distR="0">
                        <wp:extent cx="2523121" cy="33528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2521585" cy="3350759"/>
                                </a:xfrm>
                                <a:prstGeom prst="rect">
                                  <a:avLst/>
                                </a:prstGeom>
                                <a:noFill/>
                                <a:ln w="9525">
                                  <a:noFill/>
                                  <a:miter lim="800000"/>
                                  <a:headEnd/>
                                  <a:tailEnd/>
                                </a:ln>
                              </pic:spPr>
                            </pic:pic>
                          </a:graphicData>
                        </a:graphic>
                      </wp:inline>
                    </w:drawing>
                  </w:r>
                </w:p>
                <w:p w:rsidR="006F63B5" w:rsidRDefault="006F63B5" w:rsidP="00D41027">
                  <w:pPr>
                    <w:pStyle w:val="Caption"/>
                    <w:rPr>
                      <w:rFonts w:cs="Tahoma"/>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6F63B5" w:rsidRDefault="006F63B5">
                  <w:pPr>
                    <w:rPr>
                      <w:sz w:val="18"/>
                      <w:szCs w:val="18"/>
                      <w:lang w:val="mk-MK"/>
                    </w:rPr>
                  </w:pPr>
                  <w:r w:rsidRPr="00C35A99">
                    <w:rPr>
                      <w:sz w:val="18"/>
                      <w:szCs w:val="18"/>
                      <w:lang w:val="mk-MK"/>
                    </w:rPr>
                    <w:t>Забелешка</w:t>
                  </w:r>
                  <w:r>
                    <w:rPr>
                      <w:sz w:val="18"/>
                      <w:szCs w:val="18"/>
                      <w:lang w:val="mk-MK"/>
                    </w:rPr>
                    <w:t xml:space="preserve">: Во анализата не се вклучени изложеностите коишто се класифицирани на групна основа. </w:t>
                  </w:r>
                </w:p>
                <w:p w:rsidR="006F63B5" w:rsidRPr="0056698F" w:rsidRDefault="006F63B5" w:rsidP="00D41027">
                  <w:pPr>
                    <w:rPr>
                      <w:sz w:val="18"/>
                      <w:szCs w:val="18"/>
                      <w:lang w:val="mk-MK"/>
                    </w:rPr>
                  </w:pPr>
                </w:p>
                <w:p w:rsidR="006F63B5" w:rsidRPr="0056698F" w:rsidRDefault="006F63B5" w:rsidP="00D41027">
                  <w:pPr>
                    <w:rPr>
                      <w:sz w:val="18"/>
                      <w:szCs w:val="18"/>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p>
    <w:p w:rsidR="00D41027" w:rsidRPr="00B63768" w:rsidRDefault="00D41027" w:rsidP="00D41027">
      <w:pPr>
        <w:ind w:firstLine="567"/>
        <w:rPr>
          <w:rFonts w:cs="Tahoma"/>
          <w:lang w:val="mk-MK"/>
        </w:rPr>
      </w:pPr>
      <w:r w:rsidRPr="00471578">
        <w:rPr>
          <w:rFonts w:cs="Tahoma"/>
          <w:lang w:val="mk-MK"/>
        </w:rPr>
        <w:t>Според датумот на достасување на кредитите на нефинансиските субјекти, 20,3% од вкупната кредитна изложеност на 31.3.2013 година достасува за наплата до крајот на вториот квартал, додека речиси половина</w:t>
      </w:r>
      <w:r w:rsidR="00471578">
        <w:rPr>
          <w:rFonts w:cs="Tahoma"/>
          <w:lang w:val="mk-MK"/>
        </w:rPr>
        <w:t>та</w:t>
      </w:r>
      <w:r w:rsidRPr="00471578">
        <w:rPr>
          <w:rFonts w:cs="Tahoma"/>
          <w:lang w:val="mk-MK"/>
        </w:rPr>
        <w:t xml:space="preserve"> од изложеноста достасува по 2014 година. Притоа, во структурата на кредитната изложеност којашто достасува за наплата до крајот на вториот квартал годинава, изложеноста со просечно</w:t>
      </w:r>
      <w:r w:rsidRPr="00B63768">
        <w:rPr>
          <w:rFonts w:cs="Tahoma"/>
          <w:lang w:val="mk-MK"/>
        </w:rPr>
        <w:t xml:space="preserve"> ниво на ризичност до 25% (категорија на ризик „А“ и „Б“) учествува со 69,4%.</w:t>
      </w:r>
    </w:p>
    <w:p w:rsidR="00D41027" w:rsidRPr="00B63768" w:rsidRDefault="00D41027" w:rsidP="00D41027">
      <w:pPr>
        <w:ind w:firstLine="567"/>
        <w:rPr>
          <w:rFonts w:cs="Tahoma"/>
          <w:lang w:val="mk-MK"/>
        </w:rPr>
      </w:pPr>
    </w:p>
    <w:p w:rsidR="00D617B3" w:rsidRPr="00B63768" w:rsidRDefault="00D617B3" w:rsidP="00D41027">
      <w:pPr>
        <w:ind w:firstLine="567"/>
        <w:rPr>
          <w:rFonts w:cs="Tahoma"/>
          <w:lang w:val="mk-MK"/>
        </w:rPr>
      </w:pPr>
    </w:p>
    <w:p w:rsidR="00D617B3" w:rsidRPr="00B63768" w:rsidRDefault="00D617B3" w:rsidP="00D41027">
      <w:pPr>
        <w:ind w:firstLine="567"/>
        <w:rPr>
          <w:rFonts w:cs="Tahoma"/>
          <w:lang w:val="mk-MK"/>
        </w:rPr>
      </w:pPr>
    </w:p>
    <w:p w:rsidR="00D617B3" w:rsidRPr="00B63768" w:rsidRDefault="00D617B3" w:rsidP="00D41027">
      <w:pPr>
        <w:ind w:firstLine="567"/>
        <w:rPr>
          <w:rFonts w:cs="Tahoma"/>
          <w:lang w:val="mk-MK"/>
        </w:rPr>
      </w:pPr>
    </w:p>
    <w:p w:rsidR="00D617B3" w:rsidRPr="00B63768" w:rsidRDefault="00D617B3"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56698F" w:rsidRPr="00B63768" w:rsidRDefault="0056698F"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pict>
          <v:shape id="_x0000_s1045" type="#_x0000_t202" style="position:absolute;left:0;text-align:left;margin-left:-224.95pt;margin-top:23.7pt;width:213.7pt;height:202.5pt;z-index:251682816">
            <v:textbox style="mso-next-textbox:#_x0000_s1045">
              <w:txbxContent>
                <w:p w:rsidR="006F63B5" w:rsidRDefault="006F63B5" w:rsidP="00D41027">
                  <w:pPr>
                    <w:pStyle w:val="Caption"/>
                  </w:pPr>
                  <w:r>
                    <w:t xml:space="preserve">Графикон бр. </w:t>
                  </w:r>
                  <w:fldSimple w:instr=" SEQ Графикон_бр. \* ARABIC ">
                    <w:r>
                      <w:rPr>
                        <w:noProof/>
                      </w:rPr>
                      <w:t>26</w:t>
                    </w:r>
                  </w:fldSimple>
                  <w:r>
                    <w:rPr>
                      <w:lang w:val="mk-MK"/>
                    </w:rPr>
                    <w:t xml:space="preserve"> Учество на износот на големи изложености во сопствените средства на банките </w:t>
                  </w:r>
                </w:p>
                <w:p w:rsidR="006F63B5" w:rsidRPr="00901E10" w:rsidRDefault="006F63B5" w:rsidP="00D41027">
                  <w:pPr>
                    <w:rPr>
                      <w:lang w:val="mk-MK"/>
                    </w:rPr>
                  </w:pPr>
                  <w:r w:rsidRPr="001E3623">
                    <w:rPr>
                      <w:noProof/>
                    </w:rPr>
                    <w:drawing>
                      <wp:inline distT="0" distB="0" distL="0" distR="0">
                        <wp:extent cx="2524125" cy="1590675"/>
                        <wp:effectExtent l="19050" t="0" r="952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2521585" cy="1589074"/>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r w:rsidR="00D41027" w:rsidRPr="00B63768">
        <w:rPr>
          <w:rFonts w:cs="Tahoma"/>
          <w:lang w:val="mk-MK"/>
        </w:rPr>
        <w:t>Во првиот квартал од 2013 година, се зголеми концентрацијата на кредитниот ризик, мерена преку учеството на големите изложености</w:t>
      </w:r>
      <w:r w:rsidR="00D41027" w:rsidRPr="00B63768">
        <w:rPr>
          <w:rStyle w:val="FootnoteReference"/>
          <w:rFonts w:cs="Tahoma"/>
          <w:lang w:val="mk-MK"/>
        </w:rPr>
        <w:footnoteReference w:id="25"/>
      </w:r>
      <w:r w:rsidR="00D41027" w:rsidRPr="00B63768">
        <w:rPr>
          <w:rFonts w:cs="Tahoma"/>
          <w:lang w:val="mk-MK"/>
        </w:rPr>
        <w:t xml:space="preserve"> во сопствените средства на банките, коешто е двојно повисоко. Притоа, 57,8% од големите изложености на ниво на системот отпаѓаат на три банки кои</w:t>
      </w:r>
      <w:r w:rsidR="005B2080">
        <w:rPr>
          <w:rFonts w:cs="Tahoma"/>
          <w:lang w:val="mk-MK"/>
        </w:rPr>
        <w:t>што</w:t>
      </w:r>
      <w:r w:rsidR="00D41027" w:rsidRPr="00B63768">
        <w:rPr>
          <w:rFonts w:cs="Tahoma"/>
          <w:lang w:val="mk-MK"/>
        </w:rPr>
        <w:t xml:space="preserve"> со својата кредитна изложеност зафаќаат 35,7% од вкупната кредитна изложеност. Со исклучување на изложеностите на банките кон финансиски институции и пласманите во благајнички</w:t>
      </w:r>
      <w:r w:rsidR="002763AF" w:rsidRPr="00B63768">
        <w:rPr>
          <w:rFonts w:cs="Tahoma"/>
          <w:lang w:val="mk-MK"/>
        </w:rPr>
        <w:t xml:space="preserve"> записи</w:t>
      </w:r>
      <w:r w:rsidR="00D41027" w:rsidRPr="00B63768">
        <w:rPr>
          <w:rFonts w:cs="Tahoma"/>
          <w:lang w:val="mk-MK"/>
        </w:rPr>
        <w:t xml:space="preserve"> и државни </w:t>
      </w:r>
      <w:r w:rsidR="002763AF" w:rsidRPr="00B63768">
        <w:rPr>
          <w:rFonts w:cs="Tahoma"/>
          <w:lang w:val="mk-MK"/>
        </w:rPr>
        <w:t>хартии од вредност</w:t>
      </w:r>
      <w:r w:rsidR="00D41027" w:rsidRPr="00B63768">
        <w:rPr>
          <w:rFonts w:cs="Tahoma"/>
          <w:lang w:val="mk-MK"/>
        </w:rPr>
        <w:t>, учеството на големите изложености кон нефинансиски</w:t>
      </w:r>
      <w:r w:rsidR="00581F5D">
        <w:rPr>
          <w:rFonts w:cs="Tahoma"/>
          <w:lang w:val="mk-MK"/>
        </w:rPr>
        <w:t>те</w:t>
      </w:r>
      <w:r w:rsidR="00D41027" w:rsidRPr="00B63768">
        <w:rPr>
          <w:rFonts w:cs="Tahoma"/>
          <w:lang w:val="mk-MK"/>
        </w:rPr>
        <w:t xml:space="preserve"> субјекти во сопствените средства на банките се сведува на 85,4%</w:t>
      </w:r>
      <w:r w:rsidR="00D41027" w:rsidRPr="00B63768">
        <w:rPr>
          <w:rStyle w:val="FootnoteReference"/>
          <w:rFonts w:cs="Tahoma"/>
          <w:lang w:val="mk-MK"/>
        </w:rPr>
        <w:footnoteReference w:id="26"/>
      </w:r>
      <w:r w:rsidR="00D41027" w:rsidRPr="00B63768">
        <w:rPr>
          <w:rFonts w:cs="Tahoma"/>
          <w:lang w:val="mk-MK"/>
        </w:rPr>
        <w:t xml:space="preserve">. По одделни банки, учеството на големите </w:t>
      </w:r>
      <w:r w:rsidR="00D41027" w:rsidRPr="00B63768">
        <w:rPr>
          <w:rFonts w:cs="Tahoma"/>
          <w:lang w:val="mk-MK"/>
        </w:rPr>
        <w:lastRenderedPageBreak/>
        <w:t>изложености кон нефинансиски</w:t>
      </w:r>
      <w:r w:rsidR="00581F5D">
        <w:rPr>
          <w:rFonts w:cs="Tahoma"/>
          <w:lang w:val="mk-MK"/>
        </w:rPr>
        <w:t>те</w:t>
      </w:r>
      <w:r w:rsidR="00D41027" w:rsidRPr="00B63768">
        <w:rPr>
          <w:rFonts w:cs="Tahoma"/>
          <w:lang w:val="mk-MK"/>
        </w:rPr>
        <w:t xml:space="preserve"> субјекти во вкупната кредитна изложеност се движи од 2,2% до 30,5%. </w:t>
      </w:r>
    </w:p>
    <w:p w:rsidR="00FE16F9" w:rsidRPr="00B63768" w:rsidRDefault="00040D2C" w:rsidP="00D41027">
      <w:pPr>
        <w:ind w:firstLine="567"/>
        <w:rPr>
          <w:rFonts w:cs="Tahoma"/>
          <w:lang w:val="mk-MK"/>
        </w:rPr>
      </w:pPr>
      <w:r w:rsidRPr="00040D2C">
        <w:rPr>
          <w:rFonts w:cs="Tahoma"/>
          <w:lang w:val="mk-MK"/>
        </w:rPr>
        <w:pict>
          <v:shape id="_x0000_s1047" type="#_x0000_t202" style="position:absolute;left:0;text-align:left;margin-left:-225pt;margin-top:-48.15pt;width:213.7pt;height:234.75pt;z-index:251684864">
            <v:textbox style="mso-next-textbox:#_x0000_s1047">
              <w:txbxContent>
                <w:p w:rsidR="006F63B5" w:rsidRDefault="006F63B5" w:rsidP="00D41027">
                  <w:pPr>
                    <w:pStyle w:val="Caption"/>
                  </w:pPr>
                  <w:r>
                    <w:t xml:space="preserve">Графикон бр. </w:t>
                  </w:r>
                  <w:fldSimple w:instr=" SEQ Графикон_бр. \* ARABIC ">
                    <w:r>
                      <w:rPr>
                        <w:noProof/>
                      </w:rPr>
                      <w:t>27</w:t>
                    </w:r>
                  </w:fldSimple>
                  <w:r>
                    <w:rPr>
                      <w:lang w:val="mk-MK"/>
                    </w:rPr>
                    <w:t xml:space="preserve"> Учество на кредитите со еднократна отплата на главница во вкупните кредити на нефинансиските субјекти и на претпријатијата</w:t>
                  </w:r>
                </w:p>
                <w:p w:rsidR="006F63B5" w:rsidRPr="00901E10" w:rsidRDefault="006F63B5" w:rsidP="00D41027">
                  <w:pPr>
                    <w:rPr>
                      <w:lang w:val="mk-MK"/>
                    </w:rPr>
                  </w:pPr>
                  <w:r w:rsidRPr="00170B1E">
                    <w:rPr>
                      <w:noProof/>
                    </w:rPr>
                    <w:drawing>
                      <wp:inline distT="0" distB="0" distL="0" distR="0">
                        <wp:extent cx="2514137" cy="1695450"/>
                        <wp:effectExtent l="19050" t="0" r="463"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2514137" cy="1695450"/>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p>
    <w:p w:rsidR="00D41027" w:rsidRPr="00B63768" w:rsidRDefault="00D41027" w:rsidP="00D41027">
      <w:pPr>
        <w:ind w:firstLine="567"/>
        <w:rPr>
          <w:rFonts w:cs="Tahoma"/>
          <w:lang w:val="mk-MK"/>
        </w:rPr>
      </w:pPr>
      <w:r w:rsidRPr="00B63768">
        <w:rPr>
          <w:rFonts w:cs="Tahoma"/>
          <w:lang w:val="mk-MK"/>
        </w:rPr>
        <w:t>Зголемениот кредитен ризик се согледува и преку поголемото учество на кредитите со еднократна отплата на главницата во вкупните кредити на нефинансиски</w:t>
      </w:r>
      <w:r w:rsidR="003412EE">
        <w:rPr>
          <w:rFonts w:cs="Tahoma"/>
          <w:lang w:val="mk-MK"/>
        </w:rPr>
        <w:t>те</w:t>
      </w:r>
      <w:r w:rsidRPr="00B63768">
        <w:rPr>
          <w:rFonts w:cs="Tahoma"/>
          <w:lang w:val="mk-MK"/>
        </w:rPr>
        <w:t xml:space="preserve"> субјекти. Овие кредити во целост (99,1%) им се одобрени на претпријатијата</w:t>
      </w:r>
      <w:r w:rsidRPr="00B63768">
        <w:rPr>
          <w:rStyle w:val="FootnoteReference"/>
          <w:rFonts w:cs="Tahoma"/>
          <w:lang w:val="mk-MK"/>
        </w:rPr>
        <w:footnoteReference w:id="27"/>
      </w:r>
      <w:r w:rsidRPr="00B63768">
        <w:rPr>
          <w:rFonts w:cs="Tahoma"/>
          <w:lang w:val="mk-MK"/>
        </w:rPr>
        <w:t>, и тоа најмногу на клиентите од дејностите „трговија на големо и мало“ (40,5%), „производство на метали, машини, алати и опрема“ (13,5%) и „градежништво“ (10,7%).</w:t>
      </w:r>
    </w:p>
    <w:p w:rsidR="00D41027" w:rsidRPr="00B63768" w:rsidRDefault="00D41027" w:rsidP="00D41027">
      <w:pPr>
        <w:ind w:firstLine="567"/>
        <w:rPr>
          <w:rFonts w:cs="Tahoma"/>
          <w:lang w:val="mk-MK"/>
        </w:rPr>
      </w:pPr>
    </w:p>
    <w:p w:rsidR="00FC4076" w:rsidRPr="00B63768" w:rsidRDefault="00FC4076" w:rsidP="00D41027">
      <w:pPr>
        <w:ind w:firstLine="567"/>
        <w:rPr>
          <w:rFonts w:cs="Tahoma"/>
          <w:lang w:val="mk-MK"/>
        </w:rPr>
      </w:pPr>
    </w:p>
    <w:p w:rsidR="00FC4076" w:rsidRPr="00B63768" w:rsidRDefault="00FC4076" w:rsidP="00D41027">
      <w:pPr>
        <w:ind w:firstLine="567"/>
        <w:rPr>
          <w:rFonts w:cs="Tahoma"/>
          <w:lang w:val="mk-MK"/>
        </w:rPr>
      </w:pPr>
    </w:p>
    <w:p w:rsidR="00FC4076" w:rsidRPr="00B63768" w:rsidRDefault="00040D2C" w:rsidP="00D41027">
      <w:pPr>
        <w:ind w:firstLine="567"/>
        <w:rPr>
          <w:rFonts w:cs="Tahoma"/>
          <w:lang w:val="mk-MK"/>
        </w:rPr>
      </w:pPr>
      <w:r w:rsidRPr="00040D2C">
        <w:rPr>
          <w:rFonts w:cs="Tahoma"/>
          <w:lang w:val="mk-MK"/>
        </w:rPr>
        <w:pict>
          <v:shape id="_x0000_s1046" type="#_x0000_t202" style="position:absolute;left:0;text-align:left;margin-left:-225pt;margin-top:.65pt;width:213.7pt;height:231.6pt;z-index:251683840">
            <v:textbox style="mso-next-textbox:#_x0000_s1046">
              <w:txbxContent>
                <w:p w:rsidR="006F63B5" w:rsidRDefault="006F63B5" w:rsidP="00D41027">
                  <w:pPr>
                    <w:pStyle w:val="Caption"/>
                  </w:pPr>
                  <w:r>
                    <w:t xml:space="preserve">Графикон бр. </w:t>
                  </w:r>
                  <w:fldSimple w:instr=" SEQ Графикон_бр. \* ARABIC ">
                    <w:r>
                      <w:rPr>
                        <w:noProof/>
                      </w:rPr>
                      <w:t>28</w:t>
                    </w:r>
                  </w:fldSimple>
                  <w:r>
                    <w:rPr>
                      <w:lang w:val="mk-MK"/>
                    </w:rPr>
                    <w:t xml:space="preserve"> Учество на необезбедената изложеност во вкупната кредитна изложеност на нефинансиските субјекти</w:t>
                  </w:r>
                  <w:r w:rsidRPr="00170B1E">
                    <w:rPr>
                      <w:lang w:val="mk-MK"/>
                    </w:rPr>
                    <w:t xml:space="preserve"> </w:t>
                  </w:r>
                  <w:r>
                    <w:rPr>
                      <w:lang w:val="mk-MK"/>
                    </w:rPr>
                    <w:t>и на одделните сектори</w:t>
                  </w:r>
                </w:p>
                <w:p w:rsidR="006F63B5" w:rsidRPr="00901E10" w:rsidRDefault="006F63B5" w:rsidP="00D41027">
                  <w:pPr>
                    <w:rPr>
                      <w:lang w:val="mk-MK"/>
                    </w:rPr>
                  </w:pPr>
                  <w:r w:rsidRPr="007B3290">
                    <w:rPr>
                      <w:noProof/>
                    </w:rPr>
                    <w:drawing>
                      <wp:inline distT="0" distB="0" distL="0" distR="0">
                        <wp:extent cx="2514599" cy="1666875"/>
                        <wp:effectExtent l="19050" t="0" r="1"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521586" cy="1671506"/>
                                </a:xfrm>
                                <a:prstGeom prst="rect">
                                  <a:avLst/>
                                </a:prstGeom>
                                <a:noFill/>
                                <a:ln w="9525">
                                  <a:noFill/>
                                  <a:miter lim="800000"/>
                                  <a:headEnd/>
                                  <a:tailEnd/>
                                </a:ln>
                              </pic:spPr>
                            </pic:pic>
                          </a:graphicData>
                        </a:graphic>
                      </wp:inline>
                    </w:drawing>
                  </w: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w:t>
                  </w:r>
                  <w:r>
                    <w:rPr>
                      <w:rFonts w:cs="Tahoma"/>
                      <w:b w:val="0"/>
                      <w:sz w:val="18"/>
                      <w:szCs w:val="18"/>
                      <w:lang w:val="mk-MK"/>
                    </w:rPr>
                    <w:t xml:space="preserve">Кредитен регистар на </w:t>
                  </w:r>
                  <w:r w:rsidRPr="00D20DE0">
                    <w:rPr>
                      <w:rFonts w:cs="Tahoma"/>
                      <w:b w:val="0"/>
                      <w:sz w:val="18"/>
                      <w:szCs w:val="18"/>
                      <w:lang w:val="mk-MK"/>
                    </w:rPr>
                    <w:t>Народната банка, 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pStyle w:val="Caption"/>
                    <w:rPr>
                      <w:b w:val="0"/>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303B89" w:rsidRDefault="006F63B5" w:rsidP="00D41027">
                  <w:pPr>
                    <w:pStyle w:val="Caption"/>
                    <w:rPr>
                      <w:b w:val="0"/>
                      <w:sz w:val="18"/>
                      <w:szCs w:val="18"/>
                      <w:lang w:val="mk-MK"/>
                    </w:rPr>
                  </w:pPr>
                </w:p>
                <w:p w:rsidR="006F63B5" w:rsidRPr="00D20DE0" w:rsidRDefault="006F63B5" w:rsidP="00D41027">
                  <w:pPr>
                    <w:pStyle w:val="Caption"/>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rPr>
                      <w:lang w:val="mk-MK"/>
                    </w:rPr>
                  </w:pPr>
                </w:p>
                <w:p w:rsidR="006F63B5" w:rsidRPr="00303B89" w:rsidRDefault="006F63B5" w:rsidP="00D41027">
                  <w:pPr>
                    <w:rPr>
                      <w:lang w:val="mk-MK"/>
                    </w:rPr>
                  </w:pPr>
                </w:p>
                <w:p w:rsidR="006F63B5" w:rsidRPr="00303B89" w:rsidRDefault="006F63B5" w:rsidP="00D41027">
                  <w:pPr>
                    <w:rPr>
                      <w:lang w:val="mk-MK"/>
                    </w:rPr>
                  </w:pPr>
                </w:p>
                <w:p w:rsidR="006F63B5" w:rsidRPr="00D20DE0" w:rsidRDefault="006F63B5" w:rsidP="00D41027">
                  <w:pPr>
                    <w:pStyle w:val="Caption"/>
                    <w:rPr>
                      <w:b w:val="0"/>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p w:rsidR="006F63B5" w:rsidRPr="00D20DE0" w:rsidRDefault="006F63B5" w:rsidP="00D41027">
                  <w:pPr>
                    <w:rPr>
                      <w:lang w:val="mk-MK"/>
                    </w:rPr>
                  </w:pPr>
                </w:p>
              </w:txbxContent>
            </v:textbox>
            <w10:wrap type="square"/>
          </v:shape>
        </w:pict>
      </w:r>
    </w:p>
    <w:p w:rsidR="00D41027" w:rsidRPr="00B63768" w:rsidRDefault="00D41027" w:rsidP="00D41027">
      <w:pPr>
        <w:ind w:firstLine="567"/>
        <w:rPr>
          <w:rFonts w:cs="Tahoma"/>
          <w:lang w:val="mk-MK"/>
        </w:rPr>
      </w:pPr>
      <w:r w:rsidRPr="00B63768">
        <w:rPr>
          <w:rFonts w:cs="Tahoma"/>
          <w:lang w:val="mk-MK"/>
        </w:rPr>
        <w:t>Според обезбеденоста на кредитната изложеност, во првиот квартал од 2013 година се забележа намалено учество на необезбедената кредитна изложеност кај вкупната кредитна изложеност кон нефинансиските субјекти, но и кај поодделните сектори. Највисоко учество на необезбедената кредитна изложеност има кај физичките лица (32,5%), но доколку се одземе изложеноста врз основа на негативни салда на тековни сметки и на кредитни картички</w:t>
      </w:r>
      <w:r w:rsidRPr="00B63768">
        <w:rPr>
          <w:rStyle w:val="FootnoteReference"/>
          <w:rFonts w:cs="Tahoma"/>
          <w:lang w:val="mk-MK"/>
        </w:rPr>
        <w:footnoteReference w:id="28"/>
      </w:r>
      <w:r w:rsidRPr="00B63768">
        <w:rPr>
          <w:rFonts w:cs="Tahoma"/>
          <w:lang w:val="mk-MK"/>
        </w:rPr>
        <w:t xml:space="preserve">, ова учество би изнесувало 13,3%. </w:t>
      </w: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p>
    <w:p w:rsidR="00FE16F9" w:rsidRPr="00B63768" w:rsidRDefault="00FE16F9"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t>Кај физичките лица, најзадолжени се лицата со месечни примања до 30.000 денари, кај кои се пласирани две третини од вкупната изложеност на банките кон овој сектор и 72,6% од вкупната изложеност наменета за потрошувачка (анекс бр</w:t>
      </w:r>
      <w:r w:rsidR="004812D5" w:rsidRPr="00B63768">
        <w:rPr>
          <w:rFonts w:cs="Tahoma"/>
          <w:lang w:val="mk-MK"/>
        </w:rPr>
        <w:t xml:space="preserve">. 25). </w:t>
      </w:r>
      <w:r w:rsidRPr="00B63768">
        <w:rPr>
          <w:rFonts w:cs="Tahoma"/>
          <w:lang w:val="mk-MK"/>
        </w:rPr>
        <w:t xml:space="preserve">На 31.3.2013 година просечната задолженост по лице (само за лицата кои се задолжени) се зголеми и достигна 98 илјади денари. Гледано по </w:t>
      </w:r>
      <w:r w:rsidRPr="00B63768">
        <w:rPr>
          <w:rFonts w:cs="Tahoma"/>
          <w:lang w:val="mk-MK"/>
        </w:rPr>
        <w:lastRenderedPageBreak/>
        <w:t>поединечни лица, најзадолжени се физичките лица со месечни примања над 100.000 денари  (просечна задолженост од 622 илјади денари по лице). Според типот на кредитниот производ, лицата со месечни примања над 30.000 денари учествуваат со 75% во вкупната кредитна изложеност врз основа на станбени кредити, додека кај кредитната изложеност врз основа на потрошувачки кредити и кредитни картички и негативни салда на тековни сметки најголемо учество имаат лицата со месечни примања до 30.000 денари (73,5% и 74,8%, соодветно).</w:t>
      </w:r>
    </w:p>
    <w:p w:rsidR="00D41027" w:rsidRPr="00B63768" w:rsidRDefault="00040D2C" w:rsidP="00D41027">
      <w:pPr>
        <w:ind w:left="-4536" w:firstLine="708"/>
        <w:rPr>
          <w:b/>
          <w:lang w:val="mk-MK"/>
        </w:rPr>
      </w:pPr>
      <w:r w:rsidRPr="00040D2C">
        <w:rPr>
          <w:rFonts w:cs="Tahoma"/>
          <w:lang w:val="mk-MK"/>
        </w:rPr>
        <w:pict>
          <v:shape id="_x0000_s1048" type="#_x0000_t202" style="position:absolute;left:0;text-align:left;margin-left:-226.55pt;margin-top:-176.95pt;width:213.7pt;height:201.75pt;z-index:251685888">
            <v:textbox style="mso-next-textbox:#_x0000_s1048">
              <w:txbxContent>
                <w:p w:rsidR="006F63B5" w:rsidRDefault="006F63B5" w:rsidP="00D41027">
                  <w:pPr>
                    <w:pStyle w:val="Caption"/>
                  </w:pPr>
                  <w:r>
                    <w:t xml:space="preserve">Графикон бр. </w:t>
                  </w:r>
                  <w:fldSimple w:instr=" SEQ Графикон_бр. \* ARABIC ">
                    <w:r>
                      <w:rPr>
                        <w:noProof/>
                      </w:rPr>
                      <w:t>29</w:t>
                    </w:r>
                  </w:fldSimple>
                  <w:r>
                    <w:rPr>
                      <w:lang w:val="mk-MK"/>
                    </w:rPr>
                    <w:t xml:space="preserve"> Кредитна изложеност според месечните примања на кредитокорисниците (физички лица)</w:t>
                  </w:r>
                </w:p>
                <w:p w:rsidR="006F63B5" w:rsidRPr="00901E10" w:rsidRDefault="006F63B5" w:rsidP="00D41027">
                  <w:pPr>
                    <w:tabs>
                      <w:tab w:val="left" w:pos="0"/>
                    </w:tabs>
                    <w:rPr>
                      <w:lang w:val="mk-MK"/>
                    </w:rPr>
                  </w:pPr>
                  <w:r w:rsidRPr="00F457CA">
                    <w:rPr>
                      <w:noProof/>
                    </w:rPr>
                    <w:drawing>
                      <wp:inline distT="0" distB="0" distL="0" distR="0">
                        <wp:extent cx="2524125" cy="1714500"/>
                        <wp:effectExtent l="19050" t="0" r="9525"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2521585" cy="1712775"/>
                                </a:xfrm>
                                <a:prstGeom prst="rect">
                                  <a:avLst/>
                                </a:prstGeom>
                                <a:noFill/>
                                <a:ln w="9525">
                                  <a:noFill/>
                                  <a:miter lim="800000"/>
                                  <a:headEnd/>
                                  <a:tailEnd/>
                                </a:ln>
                              </pic:spPr>
                            </pic:pic>
                          </a:graphicData>
                        </a:graphic>
                      </wp:inline>
                    </w:drawing>
                  </w:r>
                </w:p>
                <w:p w:rsidR="006F63B5" w:rsidRPr="00D20DE0" w:rsidRDefault="006F63B5" w:rsidP="00D41027">
                  <w:pPr>
                    <w:pStyle w:val="Caption"/>
                    <w:tabs>
                      <w:tab w:val="left" w:pos="0"/>
                    </w:tabs>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 врз основа на податоците доставени од страна на банките.</w:t>
                  </w:r>
                </w:p>
                <w:p w:rsidR="006F63B5" w:rsidRPr="00303B89" w:rsidRDefault="006F63B5" w:rsidP="00D41027">
                  <w:pPr>
                    <w:tabs>
                      <w:tab w:val="left" w:pos="0"/>
                    </w:tabs>
                    <w:rPr>
                      <w:lang w:val="mk-MK"/>
                    </w:rPr>
                  </w:pPr>
                </w:p>
                <w:p w:rsidR="006F63B5" w:rsidRPr="00303B89" w:rsidRDefault="006F63B5" w:rsidP="00D41027">
                  <w:pPr>
                    <w:tabs>
                      <w:tab w:val="left" w:pos="0"/>
                    </w:tabs>
                    <w:rPr>
                      <w:lang w:val="mk-MK"/>
                    </w:rPr>
                  </w:pPr>
                </w:p>
                <w:p w:rsidR="006F63B5" w:rsidRPr="00303B89" w:rsidRDefault="006F63B5" w:rsidP="00D41027">
                  <w:pPr>
                    <w:pStyle w:val="Caption"/>
                    <w:tabs>
                      <w:tab w:val="left" w:pos="0"/>
                    </w:tabs>
                    <w:rPr>
                      <w:b w:val="0"/>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303B89" w:rsidRDefault="006F63B5" w:rsidP="00D41027">
                  <w:pPr>
                    <w:pStyle w:val="Caption"/>
                    <w:tabs>
                      <w:tab w:val="left" w:pos="0"/>
                    </w:tabs>
                    <w:rPr>
                      <w:b w:val="0"/>
                      <w:sz w:val="18"/>
                      <w:szCs w:val="18"/>
                      <w:lang w:val="mk-MK"/>
                    </w:rPr>
                  </w:pPr>
                </w:p>
                <w:p w:rsidR="006F63B5" w:rsidRPr="00D20DE0" w:rsidRDefault="006F63B5" w:rsidP="00D41027">
                  <w:pPr>
                    <w:pStyle w:val="Caption"/>
                    <w:tabs>
                      <w:tab w:val="left" w:pos="0"/>
                    </w:tabs>
                    <w:rPr>
                      <w:b w:val="0"/>
                      <w:sz w:val="18"/>
                      <w:szCs w:val="18"/>
                      <w:lang w:val="mk-MK"/>
                    </w:rPr>
                  </w:pPr>
                  <w:r w:rsidRPr="00D20DE0">
                    <w:rPr>
                      <w:b w:val="0"/>
                      <w:sz w:val="18"/>
                      <w:szCs w:val="18"/>
                      <w:lang w:val="mk-MK"/>
                    </w:rPr>
                    <w:t>Извор:</w:t>
                  </w:r>
                  <w:r w:rsidRPr="00D20DE0">
                    <w:rPr>
                      <w:rFonts w:cs="Tahoma"/>
                      <w:b w:val="0"/>
                      <w:sz w:val="18"/>
                      <w:szCs w:val="18"/>
                      <w:lang w:val="mk-MK"/>
                    </w:rPr>
                    <w:t xml:space="preserve"> Народната банка,</w:t>
                  </w:r>
                  <w:r w:rsidRPr="00D22DB7">
                    <w:rPr>
                      <w:b w:val="0"/>
                      <w:noProof/>
                      <w:lang w:val="mk-MK"/>
                    </w:rPr>
                    <w:t xml:space="preserve"> </w:t>
                  </w:r>
                  <w:r w:rsidRPr="00D20DE0">
                    <w:rPr>
                      <w:rFonts w:cs="Tahoma"/>
                      <w:b w:val="0"/>
                      <w:sz w:val="18"/>
                      <w:szCs w:val="18"/>
                      <w:lang w:val="mk-MK"/>
                    </w:rPr>
                    <w:t>врз основа на податоците доставени од страна на банките.</w:t>
                  </w:r>
                </w:p>
                <w:p w:rsidR="006F63B5" w:rsidRPr="00303B89" w:rsidRDefault="006F63B5" w:rsidP="00D41027">
                  <w:pPr>
                    <w:tabs>
                      <w:tab w:val="left" w:pos="0"/>
                    </w:tabs>
                    <w:rPr>
                      <w:lang w:val="mk-MK"/>
                    </w:rPr>
                  </w:pPr>
                </w:p>
                <w:p w:rsidR="006F63B5" w:rsidRPr="00303B89" w:rsidRDefault="006F63B5" w:rsidP="00D41027">
                  <w:pPr>
                    <w:tabs>
                      <w:tab w:val="left" w:pos="0"/>
                    </w:tabs>
                    <w:rPr>
                      <w:lang w:val="mk-MK"/>
                    </w:rPr>
                  </w:pPr>
                </w:p>
                <w:p w:rsidR="006F63B5" w:rsidRPr="00303B89" w:rsidRDefault="006F63B5" w:rsidP="00D41027">
                  <w:pPr>
                    <w:tabs>
                      <w:tab w:val="left" w:pos="0"/>
                    </w:tabs>
                    <w:rPr>
                      <w:lang w:val="mk-MK"/>
                    </w:rPr>
                  </w:pPr>
                </w:p>
                <w:p w:rsidR="006F63B5" w:rsidRPr="00D20DE0" w:rsidRDefault="006F63B5" w:rsidP="00D41027">
                  <w:pPr>
                    <w:pStyle w:val="Caption"/>
                    <w:tabs>
                      <w:tab w:val="left" w:pos="0"/>
                    </w:tabs>
                    <w:rPr>
                      <w:b w:val="0"/>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p w:rsidR="006F63B5" w:rsidRPr="00D20DE0" w:rsidRDefault="006F63B5" w:rsidP="00D41027">
                  <w:pPr>
                    <w:tabs>
                      <w:tab w:val="left" w:pos="0"/>
                    </w:tabs>
                    <w:rPr>
                      <w:lang w:val="mk-MK"/>
                    </w:rPr>
                  </w:pPr>
                </w:p>
              </w:txbxContent>
            </v:textbox>
            <w10:wrap type="square"/>
          </v:shape>
        </w:pict>
      </w:r>
    </w:p>
    <w:p w:rsidR="00D41027" w:rsidRPr="00B63768" w:rsidRDefault="00D41027" w:rsidP="003B2315">
      <w:pPr>
        <w:pStyle w:val="Heading3"/>
      </w:pPr>
      <w:bookmarkStart w:id="20" w:name="_Toc362007057"/>
      <w:r w:rsidRPr="00B63768">
        <w:t>Стрес-тест симулација за чувствителноста на банкарскиот систем на зголемување на кредитниот ризик</w:t>
      </w:r>
      <w:bookmarkEnd w:id="20"/>
    </w:p>
    <w:p w:rsidR="00D41027" w:rsidRPr="00B63768" w:rsidRDefault="00D41027"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pict>
          <v:shape id="_x0000_s1049" type="#_x0000_t202" style="position:absolute;left:0;text-align:left;margin-left:-234.95pt;margin-top:170.45pt;width:480.1pt;height:193.05pt;z-index:251686912">
            <v:textbox style="mso-next-textbox:#_x0000_s1049">
              <w:txbxContent>
                <w:p w:rsidR="006F63B5" w:rsidRDefault="006F63B5" w:rsidP="00D41027">
                  <w:pPr>
                    <w:pStyle w:val="Caption"/>
                    <w:rPr>
                      <w:rFonts w:cs="Tahoma"/>
                    </w:rPr>
                  </w:pPr>
                  <w:bookmarkStart w:id="21" w:name="_Toc337029143"/>
                  <w:r>
                    <w:t xml:space="preserve">Табела бр.  </w:t>
                  </w:r>
                  <w:fldSimple w:instr=" SEQ Табела_бр._ \* ARABIC ">
                    <w:r>
                      <w:rPr>
                        <w:noProof/>
                      </w:rPr>
                      <w:t>2</w:t>
                    </w:r>
                  </w:fldSimple>
                  <w:r>
                    <w:rPr>
                      <w:lang w:val="mk-MK"/>
                    </w:rPr>
                    <w:t xml:space="preserve"> </w:t>
                  </w:r>
                  <w:r>
                    <w:rPr>
                      <w:rFonts w:cs="Tahoma"/>
                      <w:lang w:val="mk-MK"/>
                    </w:rPr>
                    <w:t>Стапка на адекватност на капиталот, по симулациите</w:t>
                  </w:r>
                  <w:bookmarkEnd w:id="21"/>
                </w:p>
                <w:p w:rsidR="006F63B5" w:rsidRPr="003F5FF6" w:rsidRDefault="006F63B5" w:rsidP="00D41027">
                  <w:r w:rsidRPr="0017211A">
                    <w:rPr>
                      <w:noProof/>
                    </w:rPr>
                    <w:drawing>
                      <wp:inline distT="0" distB="0" distL="0" distR="0">
                        <wp:extent cx="5838825" cy="2019300"/>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5840771" cy="2019973"/>
                                </a:xfrm>
                                <a:prstGeom prst="rect">
                                  <a:avLst/>
                                </a:prstGeom>
                                <a:noFill/>
                                <a:ln w="9525">
                                  <a:noFill/>
                                  <a:miter lim="800000"/>
                                  <a:headEnd/>
                                  <a:tailEnd/>
                                </a:ln>
                              </pic:spPr>
                            </pic:pic>
                          </a:graphicData>
                        </a:graphic>
                      </wp:inline>
                    </w:drawing>
                  </w:r>
                  <w:r w:rsidRPr="0017211A" w:rsidDel="0017211A">
                    <w:t xml:space="preserve"> </w:t>
                  </w:r>
                </w:p>
                <w:p w:rsidR="006F63B5" w:rsidRDefault="006F63B5" w:rsidP="00D41027">
                  <w:r w:rsidRPr="00A72927">
                    <w:rPr>
                      <w:sz w:val="18"/>
                      <w:szCs w:val="18"/>
                      <w:lang w:val="mk-MK"/>
                    </w:rPr>
                    <w:t>Извор:</w:t>
                  </w:r>
                  <w:r w:rsidRPr="00A72927">
                    <w:rPr>
                      <w:rFonts w:cs="Tahoma"/>
                      <w:sz w:val="18"/>
                      <w:szCs w:val="18"/>
                      <w:lang w:val="mk-MK"/>
                    </w:rPr>
                    <w:t xml:space="preserve"> </w:t>
                  </w:r>
                  <w:r>
                    <w:rPr>
                      <w:rFonts w:cs="Tahoma"/>
                      <w:sz w:val="18"/>
                      <w:szCs w:val="18"/>
                      <w:lang w:val="mk-MK"/>
                    </w:rPr>
                    <w:t xml:space="preserve">Пресметки на </w:t>
                  </w:r>
                  <w:r w:rsidRPr="00A72927">
                    <w:rPr>
                      <w:rFonts w:cs="Tahoma"/>
                      <w:sz w:val="18"/>
                      <w:szCs w:val="18"/>
                      <w:lang w:val="mk-MK"/>
                    </w:rPr>
                    <w:t>Н</w:t>
                  </w:r>
                  <w:r>
                    <w:rPr>
                      <w:rFonts w:cs="Tahoma"/>
                      <w:sz w:val="18"/>
                      <w:szCs w:val="18"/>
                      <w:lang w:val="mk-MK"/>
                    </w:rPr>
                    <w:t>ародната банка</w:t>
                  </w:r>
                  <w:r w:rsidRPr="00A72927">
                    <w:rPr>
                      <w:rFonts w:cs="Tahoma"/>
                      <w:sz w:val="18"/>
                      <w:szCs w:val="18"/>
                      <w:lang w:val="mk-MK"/>
                    </w:rPr>
                    <w:t>, врз основа на податоците доставени од страна на банките.</w:t>
                  </w:r>
                </w:p>
                <w:p w:rsidR="006F63B5" w:rsidRDefault="006F63B5" w:rsidP="00D41027"/>
                <w:p w:rsidR="006F63B5" w:rsidRDefault="006F63B5" w:rsidP="00D41027"/>
                <w:p w:rsidR="006F63B5" w:rsidRDefault="006F63B5" w:rsidP="00D41027"/>
                <w:p w:rsidR="006F63B5" w:rsidRDefault="006F63B5" w:rsidP="00D41027"/>
                <w:p w:rsidR="006F63B5" w:rsidRDefault="006F63B5" w:rsidP="00D41027"/>
                <w:p w:rsidR="006F63B5" w:rsidRDefault="006F63B5" w:rsidP="00D41027"/>
                <w:p w:rsidR="006F63B5" w:rsidRDefault="006F63B5" w:rsidP="00D41027"/>
                <w:p w:rsidR="006F63B5" w:rsidRDefault="006F63B5" w:rsidP="00D41027"/>
                <w:p w:rsidR="006F63B5" w:rsidRDefault="006F63B5" w:rsidP="00D41027"/>
                <w:p w:rsidR="006F63B5" w:rsidRDefault="006F63B5" w:rsidP="00D41027">
                  <w:pPr>
                    <w:pStyle w:val="Caption"/>
                    <w:rPr>
                      <w:b w:val="0"/>
                      <w:sz w:val="18"/>
                      <w:szCs w:val="18"/>
                    </w:rPr>
                  </w:pPr>
                </w:p>
                <w:p w:rsidR="006F63B5" w:rsidRDefault="006F63B5" w:rsidP="00D41027"/>
                <w:p w:rsidR="006F63B5" w:rsidRPr="00EE26CC" w:rsidRDefault="006F63B5" w:rsidP="00D41027"/>
                <w:p w:rsidR="006F63B5" w:rsidRDefault="006F63B5" w:rsidP="00D41027">
                  <w:pPr>
                    <w:pStyle w:val="Caption"/>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Default="006F63B5" w:rsidP="00D41027">
                  <w:pPr>
                    <w:rPr>
                      <w:lang w:val="mk-MK"/>
                    </w:rPr>
                  </w:pPr>
                </w:p>
                <w:p w:rsidR="006F63B5" w:rsidRPr="008476D5" w:rsidRDefault="006F63B5" w:rsidP="00D41027">
                  <w:pPr>
                    <w:rPr>
                      <w:sz w:val="20"/>
                      <w:szCs w:val="20"/>
                      <w:lang w:val="mk-MK"/>
                    </w:rPr>
                  </w:pPr>
                  <w:r w:rsidRPr="008476D5">
                    <w:rPr>
                      <w:sz w:val="20"/>
                      <w:szCs w:val="20"/>
                      <w:lang w:val="mk-MK"/>
                    </w:rPr>
                    <w:t>Извор:</w:t>
                  </w:r>
                </w:p>
              </w:txbxContent>
            </v:textbox>
            <w10:wrap type="square"/>
          </v:shape>
        </w:pict>
      </w:r>
      <w:r w:rsidR="00D41027" w:rsidRPr="00B63768">
        <w:rPr>
          <w:rFonts w:cs="Tahoma"/>
          <w:lang w:val="mk-MK"/>
        </w:rPr>
        <w:t>Стрес</w:t>
      </w:r>
      <w:r w:rsidR="003412EE">
        <w:rPr>
          <w:rFonts w:cs="Tahoma"/>
          <w:lang w:val="mk-MK"/>
        </w:rPr>
        <w:t>-</w:t>
      </w:r>
      <w:r w:rsidR="00D41027" w:rsidRPr="00B63768">
        <w:rPr>
          <w:rFonts w:cs="Tahoma"/>
          <w:lang w:val="mk-MK"/>
        </w:rPr>
        <w:t>тестирањата кои</w:t>
      </w:r>
      <w:r w:rsidR="003412EE">
        <w:rPr>
          <w:rFonts w:cs="Tahoma"/>
          <w:lang w:val="mk-MK"/>
        </w:rPr>
        <w:t>што</w:t>
      </w:r>
      <w:r w:rsidR="00D41027" w:rsidRPr="00B63768">
        <w:rPr>
          <w:rFonts w:cs="Tahoma"/>
          <w:lang w:val="mk-MK"/>
        </w:rPr>
        <w:t xml:space="preserve"> се споредуваат на редовна основа имаат за цел да ја испитаат чувствителноста на банкарскиот систем при влошување на квалитетот на одделни сегменти од кредитното портфолио. Тие се состојат од симулации на </w:t>
      </w:r>
      <w:r w:rsidR="003412EE" w:rsidRPr="00B63768">
        <w:rPr>
          <w:rFonts w:cs="Tahoma"/>
          <w:lang w:val="mk-MK"/>
        </w:rPr>
        <w:t>хипотетичк</w:t>
      </w:r>
      <w:r w:rsidR="003412EE">
        <w:rPr>
          <w:rFonts w:cs="Tahoma"/>
          <w:lang w:val="mk-MK"/>
        </w:rPr>
        <w:t>о</w:t>
      </w:r>
      <w:r w:rsidR="003412EE" w:rsidRPr="00B63768">
        <w:rPr>
          <w:rFonts w:cs="Tahoma"/>
          <w:lang w:val="mk-MK"/>
        </w:rPr>
        <w:t xml:space="preserve"> </w:t>
      </w:r>
      <w:r w:rsidR="003412EE">
        <w:rPr>
          <w:rFonts w:cs="Tahoma"/>
          <w:lang w:val="mk-MK"/>
        </w:rPr>
        <w:t>преминување</w:t>
      </w:r>
      <w:r w:rsidR="003412EE" w:rsidRPr="00B63768">
        <w:rPr>
          <w:rFonts w:cs="Tahoma"/>
          <w:lang w:val="mk-MK"/>
        </w:rPr>
        <w:t xml:space="preserve"> </w:t>
      </w:r>
      <w:r w:rsidR="00D41027" w:rsidRPr="00B63768">
        <w:rPr>
          <w:rFonts w:cs="Tahoma"/>
          <w:lang w:val="mk-MK"/>
        </w:rPr>
        <w:t>на 10% (прва симулација)</w:t>
      </w:r>
      <w:r w:rsidR="00127F03" w:rsidRPr="00B63768">
        <w:rPr>
          <w:rFonts w:cs="Tahoma"/>
          <w:lang w:val="mk-MK"/>
        </w:rPr>
        <w:t xml:space="preserve"> и</w:t>
      </w:r>
      <w:r w:rsidR="00D41027" w:rsidRPr="00B63768">
        <w:rPr>
          <w:rFonts w:cs="Tahoma"/>
          <w:lang w:val="mk-MK"/>
        </w:rPr>
        <w:t xml:space="preserve"> 30% (втора симулација) од кредитната изложеност кон претпријатијата и домаќинствата</w:t>
      </w:r>
      <w:r w:rsidR="003412EE">
        <w:rPr>
          <w:rFonts w:cs="Tahoma"/>
          <w:lang w:val="mk-MK"/>
        </w:rPr>
        <w:t>,</w:t>
      </w:r>
      <w:r w:rsidR="00D41027" w:rsidRPr="00B63768">
        <w:rPr>
          <w:rFonts w:cs="Tahoma"/>
          <w:lang w:val="mk-MK"/>
        </w:rPr>
        <w:t xml:space="preserve"> поодделно, и кон двата сектора заедно, кон двете следни категории со повисока ризичност. </w:t>
      </w:r>
    </w:p>
    <w:p w:rsidR="00D41027" w:rsidRPr="00B63768" w:rsidRDefault="00D41027" w:rsidP="00D41027">
      <w:pPr>
        <w:rPr>
          <w:rFonts w:cs="Tahoma"/>
          <w:lang w:val="mk-MK"/>
        </w:rPr>
      </w:pPr>
    </w:p>
    <w:p w:rsidR="00D41027" w:rsidRPr="00B63768" w:rsidRDefault="00D41027" w:rsidP="00D41027">
      <w:pPr>
        <w:ind w:firstLine="567"/>
        <w:rPr>
          <w:rFonts w:cs="Tahoma"/>
          <w:lang w:val="mk-MK"/>
        </w:rPr>
      </w:pPr>
    </w:p>
    <w:p w:rsidR="00D41027" w:rsidRPr="00B63768" w:rsidRDefault="00D41027" w:rsidP="00D41027">
      <w:pPr>
        <w:ind w:firstLine="567"/>
        <w:rPr>
          <w:rFonts w:cs="Tahoma"/>
          <w:lang w:val="mk-MK"/>
        </w:rPr>
      </w:pPr>
      <w:r w:rsidRPr="00B63768">
        <w:rPr>
          <w:rFonts w:cs="Tahoma"/>
          <w:lang w:val="mk-MK"/>
        </w:rPr>
        <w:lastRenderedPageBreak/>
        <w:t xml:space="preserve">Резултатите од симулациите покажуваат </w:t>
      </w:r>
      <w:r w:rsidR="003412EE">
        <w:rPr>
          <w:rFonts w:cs="Tahoma"/>
          <w:lang w:val="mk-MK"/>
        </w:rPr>
        <w:t>за</w:t>
      </w:r>
      <w:r w:rsidR="003412EE" w:rsidRPr="00B63768">
        <w:rPr>
          <w:rFonts w:cs="Tahoma"/>
          <w:lang w:val="mk-MK"/>
        </w:rPr>
        <w:t xml:space="preserve">држување </w:t>
      </w:r>
      <w:r w:rsidRPr="00B63768">
        <w:rPr>
          <w:rFonts w:cs="Tahoma"/>
          <w:lang w:val="mk-MK"/>
        </w:rPr>
        <w:t xml:space="preserve">на отпорноста на банкарскиот систем на симулираните шокови. Во споредба со претходниот квартал, се забележува </w:t>
      </w:r>
      <w:r w:rsidR="003412EE">
        <w:rPr>
          <w:rFonts w:cs="Tahoma"/>
          <w:lang w:val="mk-MK"/>
        </w:rPr>
        <w:t>малку</w:t>
      </w:r>
      <w:r w:rsidR="003412EE" w:rsidRPr="00B63768">
        <w:rPr>
          <w:rFonts w:cs="Tahoma"/>
          <w:lang w:val="mk-MK"/>
        </w:rPr>
        <w:t xml:space="preserve"> </w:t>
      </w:r>
      <w:r w:rsidR="00EF1A8F" w:rsidRPr="00B63768">
        <w:rPr>
          <w:rFonts w:cs="Tahoma"/>
          <w:lang w:val="mk-MK"/>
        </w:rPr>
        <w:t>поголема потреба за докапитализација</w:t>
      </w:r>
      <w:r w:rsidRPr="00B63768">
        <w:rPr>
          <w:rFonts w:cs="Tahoma"/>
          <w:lang w:val="mk-MK"/>
        </w:rPr>
        <w:t xml:space="preserve"> кај поодделни банки. Подетален преглед на резултатите од спроведените симулации е даден во анексот бр</w:t>
      </w:r>
      <w:r w:rsidR="004812D5" w:rsidRPr="00B63768">
        <w:rPr>
          <w:rFonts w:cs="Tahoma"/>
          <w:lang w:val="mk-MK"/>
        </w:rPr>
        <w:t>.</w:t>
      </w:r>
      <w:r w:rsidR="00071DFC" w:rsidRPr="00B63768">
        <w:rPr>
          <w:rFonts w:cs="Tahoma"/>
          <w:lang w:val="mk-MK"/>
        </w:rPr>
        <w:t xml:space="preserve"> </w:t>
      </w:r>
      <w:r w:rsidR="004812D5" w:rsidRPr="00B63768">
        <w:rPr>
          <w:rFonts w:cs="Tahoma"/>
          <w:lang w:val="mk-MK"/>
        </w:rPr>
        <w:t>26.</w:t>
      </w:r>
    </w:p>
    <w:bookmarkEnd w:id="16"/>
    <w:bookmarkEnd w:id="17"/>
    <w:p w:rsidR="00BF333C" w:rsidRPr="00B63768" w:rsidRDefault="00BF333C" w:rsidP="00A57417">
      <w:pPr>
        <w:rPr>
          <w:lang w:val="mk-MK"/>
        </w:rPr>
      </w:pPr>
    </w:p>
    <w:p w:rsidR="001870F7" w:rsidRPr="00B63768" w:rsidRDefault="00BF333C" w:rsidP="003B2315">
      <w:pPr>
        <w:pStyle w:val="Heading2"/>
      </w:pPr>
      <w:bookmarkStart w:id="22" w:name="_Toc362007058"/>
      <w:r w:rsidRPr="00B63768">
        <w:t>Ликвид</w:t>
      </w:r>
      <w:r w:rsidR="001870F7" w:rsidRPr="00B63768">
        <w:t>носен ризик</w:t>
      </w:r>
      <w:bookmarkEnd w:id="22"/>
    </w:p>
    <w:p w:rsidR="00D41027" w:rsidRPr="00B63768" w:rsidRDefault="00D41027" w:rsidP="00D41027">
      <w:pPr>
        <w:ind w:left="-4536" w:firstLine="850"/>
        <w:rPr>
          <w:b/>
          <w:lang w:val="mk-MK"/>
        </w:rPr>
      </w:pPr>
      <w:bookmarkStart w:id="23" w:name="_Toc296501667"/>
      <w:bookmarkStart w:id="24" w:name="_Toc296501755"/>
      <w:bookmarkStart w:id="25" w:name="_Toc296502415"/>
      <w:bookmarkStart w:id="26" w:name="_Toc296503388"/>
      <w:bookmarkStart w:id="27" w:name="_Toc296503434"/>
      <w:bookmarkStart w:id="28" w:name="_Toc296505741"/>
      <w:bookmarkStart w:id="29" w:name="_Toc297124647"/>
      <w:bookmarkStart w:id="30" w:name="_Toc297125056"/>
      <w:bookmarkStart w:id="31" w:name="_Toc297648516"/>
      <w:bookmarkStart w:id="32" w:name="_Toc297714054"/>
      <w:bookmarkStart w:id="33" w:name="_Toc297491556"/>
      <w:bookmarkStart w:id="34" w:name="_Toc297503835"/>
      <w:bookmarkEnd w:id="23"/>
      <w:bookmarkEnd w:id="24"/>
      <w:bookmarkEnd w:id="25"/>
      <w:bookmarkEnd w:id="26"/>
      <w:bookmarkEnd w:id="27"/>
      <w:bookmarkEnd w:id="28"/>
      <w:bookmarkEnd w:id="29"/>
      <w:bookmarkEnd w:id="30"/>
      <w:bookmarkEnd w:id="31"/>
      <w:bookmarkEnd w:id="32"/>
      <w:bookmarkEnd w:id="33"/>
      <w:bookmarkEnd w:id="34"/>
    </w:p>
    <w:p w:rsidR="00D41027" w:rsidRPr="00B63768" w:rsidRDefault="00040D2C" w:rsidP="00D41027">
      <w:pPr>
        <w:ind w:left="-4536" w:firstLine="850"/>
        <w:rPr>
          <w:b/>
          <w:lang w:val="mk-MK"/>
        </w:rPr>
      </w:pPr>
      <w:r w:rsidRPr="00040D2C">
        <w:rPr>
          <w:rFonts w:cs="Tahoma"/>
          <w:b/>
          <w:lang w:val="mk-MK"/>
        </w:rPr>
        <w:pict>
          <v:shape id="_x0000_s1055" type="#_x0000_t202" style="position:absolute;left:0;text-align:left;margin-left:-223.85pt;margin-top:144.85pt;width:216.75pt;height:291.75pt;z-index:251765760">
            <v:textbox style="mso-next-textbox:#_x0000_s1055">
              <w:txbxContent>
                <w:p w:rsidR="006F63B5" w:rsidRPr="003C7F30" w:rsidRDefault="006F63B5" w:rsidP="00D41027">
                  <w:pPr>
                    <w:pStyle w:val="Caption"/>
                    <w:keepNext/>
                    <w:rPr>
                      <w:szCs w:val="20"/>
                    </w:rPr>
                  </w:pPr>
                  <w:r w:rsidRPr="003C7F30">
                    <w:rPr>
                      <w:szCs w:val="20"/>
                    </w:rPr>
                    <w:t xml:space="preserve">Графикон бр. </w:t>
                  </w:r>
                  <w:r w:rsidR="00040D2C" w:rsidRPr="003C7F30">
                    <w:rPr>
                      <w:szCs w:val="20"/>
                    </w:rPr>
                    <w:fldChar w:fldCharType="begin"/>
                  </w:r>
                  <w:r w:rsidRPr="003C7F30">
                    <w:rPr>
                      <w:szCs w:val="20"/>
                    </w:rPr>
                    <w:instrText xml:space="preserve"> SEQ Графикон_бр. \* ARABIC </w:instrText>
                  </w:r>
                  <w:r w:rsidR="00040D2C" w:rsidRPr="003C7F30">
                    <w:rPr>
                      <w:szCs w:val="20"/>
                    </w:rPr>
                    <w:fldChar w:fldCharType="separate"/>
                  </w:r>
                  <w:r w:rsidR="00D82BBF">
                    <w:rPr>
                      <w:noProof/>
                      <w:szCs w:val="20"/>
                    </w:rPr>
                    <w:t>30</w:t>
                  </w:r>
                  <w:r w:rsidR="00040D2C" w:rsidRPr="003C7F30">
                    <w:rPr>
                      <w:szCs w:val="20"/>
                    </w:rPr>
                    <w:fldChar w:fldCharType="end"/>
                  </w:r>
                  <w:r w:rsidRPr="003C7F30">
                    <w:rPr>
                      <w:szCs w:val="20"/>
                      <w:lang w:val="mk-MK"/>
                    </w:rPr>
                    <w:t xml:space="preserve"> </w:t>
                  </w:r>
                  <w:r w:rsidRPr="003C7F30">
                    <w:rPr>
                      <w:rFonts w:cs="Tahoma"/>
                      <w:szCs w:val="20"/>
                      <w:lang w:val="mk-MK"/>
                    </w:rPr>
                    <w:t>Структура на л</w:t>
                  </w:r>
                  <w:r w:rsidRPr="003C7F30">
                    <w:rPr>
                      <w:szCs w:val="20"/>
                      <w:lang w:val="mk-MK"/>
                    </w:rPr>
                    <w:t>иквидни средства на банките според финансиските инструментите кои</w:t>
                  </w:r>
                  <w:r>
                    <w:rPr>
                      <w:szCs w:val="20"/>
                      <w:lang w:val="mk-MK"/>
                    </w:rPr>
                    <w:t>што</w:t>
                  </w:r>
                  <w:r w:rsidRPr="003C7F30">
                    <w:rPr>
                      <w:szCs w:val="20"/>
                      <w:lang w:val="mk-MK"/>
                    </w:rPr>
                    <w:t xml:space="preserve"> ги сочинуваат</w:t>
                  </w:r>
                </w:p>
                <w:p w:rsidR="006F63B5" w:rsidRDefault="006F63B5" w:rsidP="00D41027">
                  <w:pPr>
                    <w:pStyle w:val="Caption"/>
                  </w:pPr>
                  <w:r w:rsidRPr="003C7F30">
                    <w:rPr>
                      <w:noProof/>
                    </w:rPr>
                    <w:drawing>
                      <wp:inline distT="0" distB="0" distL="0" distR="0">
                        <wp:extent cx="2562225" cy="2638425"/>
                        <wp:effectExtent l="1905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2560320" cy="2636463"/>
                                </a:xfrm>
                                <a:prstGeom prst="rect">
                                  <a:avLst/>
                                </a:prstGeom>
                                <a:noFill/>
                                <a:ln w="9525">
                                  <a:noFill/>
                                  <a:miter lim="800000"/>
                                  <a:headEnd/>
                                  <a:tailEnd/>
                                </a:ln>
                              </pic:spPr>
                            </pic:pic>
                          </a:graphicData>
                        </a:graphic>
                      </wp:inline>
                    </w:drawing>
                  </w:r>
                </w:p>
                <w:p w:rsidR="006F63B5" w:rsidRPr="003C7F30" w:rsidRDefault="006F63B5" w:rsidP="00D41027">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w10:wrap type="square"/>
          </v:shape>
        </w:pict>
      </w:r>
      <w:r w:rsidR="00D41027" w:rsidRPr="00B63768">
        <w:rPr>
          <w:b/>
          <w:lang w:val="mk-MK"/>
        </w:rPr>
        <w:t xml:space="preserve">Во првиот квартал на 2013 година, </w:t>
      </w:r>
      <w:r w:rsidR="00DF5DEE">
        <w:rPr>
          <w:b/>
          <w:lang w:val="mk-MK"/>
        </w:rPr>
        <w:t>се зголеми</w:t>
      </w:r>
      <w:r w:rsidR="00DF5DEE" w:rsidRPr="00B63768">
        <w:rPr>
          <w:b/>
          <w:lang w:val="mk-MK"/>
        </w:rPr>
        <w:t xml:space="preserve"> </w:t>
      </w:r>
      <w:r w:rsidR="00127F03" w:rsidRPr="00B63768">
        <w:rPr>
          <w:b/>
          <w:lang w:val="mk-MK"/>
        </w:rPr>
        <w:t xml:space="preserve">годишната стапка на раст на ликвидните средства на 10,6%, </w:t>
      </w:r>
      <w:r w:rsidR="00DF5DEE">
        <w:rPr>
          <w:b/>
          <w:lang w:val="mk-MK"/>
        </w:rPr>
        <w:t xml:space="preserve">поради </w:t>
      </w:r>
      <w:r w:rsidR="00127F03" w:rsidRPr="00B63768">
        <w:rPr>
          <w:b/>
          <w:lang w:val="mk-MK"/>
        </w:rPr>
        <w:t xml:space="preserve">што </w:t>
      </w:r>
      <w:r w:rsidR="00D41027" w:rsidRPr="00B63768">
        <w:rPr>
          <w:b/>
          <w:lang w:val="mk-MK"/>
        </w:rPr>
        <w:t>банките во Република Македонија и понат</w:t>
      </w:r>
      <w:r w:rsidR="000C7054" w:rsidRPr="00B63768">
        <w:rPr>
          <w:b/>
          <w:lang w:val="mk-MK"/>
        </w:rPr>
        <w:t>а</w:t>
      </w:r>
      <w:r w:rsidR="00D41027" w:rsidRPr="00B63768">
        <w:rPr>
          <w:b/>
          <w:lang w:val="mk-MK"/>
        </w:rPr>
        <w:t>му располагаа</w:t>
      </w:r>
      <w:r w:rsidR="0006163C" w:rsidRPr="00B63768">
        <w:rPr>
          <w:b/>
          <w:lang w:val="mk-MK"/>
        </w:rPr>
        <w:t>т</w:t>
      </w:r>
      <w:r w:rsidR="00D41027" w:rsidRPr="00B63768">
        <w:rPr>
          <w:b/>
          <w:lang w:val="mk-MK"/>
        </w:rPr>
        <w:t xml:space="preserve"> со висок износ на ликвидни средства. Притоа, продолжи трендот на промени во структурата на ликвидните средства</w:t>
      </w:r>
      <w:r w:rsidR="00DF5DEE">
        <w:rPr>
          <w:b/>
          <w:lang w:val="mk-MK"/>
        </w:rPr>
        <w:t>, односно се</w:t>
      </w:r>
      <w:r w:rsidR="00D41027" w:rsidRPr="00B63768">
        <w:rPr>
          <w:b/>
          <w:lang w:val="mk-MK"/>
        </w:rPr>
        <w:t xml:space="preserve"> зголем</w:t>
      </w:r>
      <w:r w:rsidR="00DF5DEE">
        <w:rPr>
          <w:b/>
          <w:lang w:val="mk-MK"/>
        </w:rPr>
        <w:t>и</w:t>
      </w:r>
      <w:r w:rsidR="00D41027" w:rsidRPr="00B63768">
        <w:rPr>
          <w:b/>
          <w:lang w:val="mk-MK"/>
        </w:rPr>
        <w:t xml:space="preserve"> учеството на државните записи, за сметка на намалување</w:t>
      </w:r>
      <w:r w:rsidR="00DF5DEE">
        <w:rPr>
          <w:b/>
          <w:lang w:val="mk-MK"/>
        </w:rPr>
        <w:t>то</w:t>
      </w:r>
      <w:r w:rsidR="00D41027" w:rsidRPr="00B63768">
        <w:rPr>
          <w:b/>
          <w:lang w:val="mk-MK"/>
        </w:rPr>
        <w:t xml:space="preserve"> на учеств</w:t>
      </w:r>
      <w:r w:rsidR="00D22DB7" w:rsidRPr="00B63768">
        <w:rPr>
          <w:b/>
          <w:lang w:val="mk-MK"/>
        </w:rPr>
        <w:t>o</w:t>
      </w:r>
      <w:r w:rsidR="00D41027" w:rsidRPr="00B63768">
        <w:rPr>
          <w:b/>
          <w:lang w:val="mk-MK"/>
        </w:rPr>
        <w:t>то на благајничките записи</w:t>
      </w:r>
      <w:r w:rsidR="00FA627C" w:rsidRPr="00B63768">
        <w:rPr>
          <w:b/>
          <w:lang w:val="mk-MK"/>
        </w:rPr>
        <w:t>.</w:t>
      </w:r>
      <w:r w:rsidR="00D41027" w:rsidRPr="00B63768">
        <w:rPr>
          <w:b/>
          <w:lang w:val="mk-MK"/>
        </w:rPr>
        <w:t xml:space="preserve"> Воедно, банките </w:t>
      </w:r>
      <w:r w:rsidR="00DF5DEE" w:rsidRPr="00B63768">
        <w:rPr>
          <w:b/>
          <w:lang w:val="mk-MK"/>
        </w:rPr>
        <w:t>с</w:t>
      </w:r>
      <w:r w:rsidR="00DF5DEE">
        <w:rPr>
          <w:b/>
          <w:lang w:val="mk-MK"/>
        </w:rPr>
        <w:t xml:space="preserve">ѐ </w:t>
      </w:r>
      <w:r w:rsidR="00DF5DEE" w:rsidRPr="00B63768">
        <w:rPr>
          <w:b/>
          <w:lang w:val="mk-MK"/>
        </w:rPr>
        <w:t xml:space="preserve">уште </w:t>
      </w:r>
      <w:r w:rsidR="00D41027" w:rsidRPr="00B63768">
        <w:rPr>
          <w:b/>
          <w:lang w:val="mk-MK"/>
        </w:rPr>
        <w:t xml:space="preserve">имаат посилни </w:t>
      </w:r>
      <w:r w:rsidR="002F3736" w:rsidRPr="00B63768">
        <w:rPr>
          <w:b/>
          <w:lang w:val="mk-MK"/>
        </w:rPr>
        <w:t xml:space="preserve">склоности </w:t>
      </w:r>
      <w:r w:rsidR="00D41027" w:rsidRPr="00B63768">
        <w:rPr>
          <w:b/>
          <w:lang w:val="mk-MK"/>
        </w:rPr>
        <w:t>за вложување во денарски ликвидни инструменти коишто се главни носители на растот на ликвидните средства. Показателите за ликвидноста на ниво на банкарскиот систем се на стабилно ниво</w:t>
      </w:r>
      <w:r w:rsidR="00DF5DEE">
        <w:rPr>
          <w:b/>
          <w:lang w:val="mk-MK"/>
        </w:rPr>
        <w:t>,</w:t>
      </w:r>
      <w:r w:rsidR="00D41027" w:rsidRPr="00B63768">
        <w:rPr>
          <w:b/>
          <w:lang w:val="mk-MK"/>
        </w:rPr>
        <w:t xml:space="preserve"> при</w:t>
      </w:r>
      <w:r w:rsidR="00DF5DEE">
        <w:rPr>
          <w:b/>
          <w:lang w:val="mk-MK"/>
        </w:rPr>
        <w:t xml:space="preserve"> </w:t>
      </w:r>
      <w:r w:rsidR="00D41027" w:rsidRPr="00B63768">
        <w:rPr>
          <w:b/>
          <w:lang w:val="mk-MK"/>
        </w:rPr>
        <w:t xml:space="preserve">што </w:t>
      </w:r>
      <w:r w:rsidR="00DF5DEE" w:rsidRPr="00B63768">
        <w:rPr>
          <w:b/>
          <w:lang w:val="mk-MK"/>
        </w:rPr>
        <w:t>се зголеми</w:t>
      </w:r>
      <w:r w:rsidR="00DF5DEE">
        <w:rPr>
          <w:b/>
          <w:lang w:val="mk-MK"/>
        </w:rPr>
        <w:t xml:space="preserve"> </w:t>
      </w:r>
      <w:r w:rsidR="00D41027" w:rsidRPr="00B63768">
        <w:rPr>
          <w:b/>
          <w:lang w:val="mk-MK"/>
        </w:rPr>
        <w:t xml:space="preserve">покриеноста на различни категории обврски со ликвидни средства. Воедно, растот на долгорочните извори на финансирање во првиот квартал на 2013 година предизвика натамошно зголемување на </w:t>
      </w:r>
      <w:r w:rsidR="00EF1A8F" w:rsidRPr="00B63768">
        <w:rPr>
          <w:b/>
          <w:lang w:val="mk-MK"/>
        </w:rPr>
        <w:t>рочноста</w:t>
      </w:r>
      <w:r w:rsidR="00D41027" w:rsidRPr="00B63768">
        <w:rPr>
          <w:b/>
          <w:lang w:val="mk-MK"/>
        </w:rPr>
        <w:t xml:space="preserve"> на обврските на банките, со што и договорната рочна неусогласеност меѓу средствата и обврските продолжи да се стеснува.</w:t>
      </w:r>
      <w:r w:rsidR="00D41027" w:rsidRPr="00B63768">
        <w:rPr>
          <w:rFonts w:cs="Tahoma"/>
          <w:b/>
          <w:lang w:val="mk-MK"/>
        </w:rPr>
        <w:t xml:space="preserve"> Стрес-тест симулациите </w:t>
      </w:r>
      <w:r w:rsidR="00DF5DEE" w:rsidRPr="00B63768">
        <w:rPr>
          <w:rFonts w:cs="Tahoma"/>
          <w:b/>
          <w:lang w:val="mk-MK"/>
        </w:rPr>
        <w:t>г</w:t>
      </w:r>
      <w:r w:rsidR="00DF5DEE">
        <w:rPr>
          <w:rFonts w:cs="Tahoma"/>
          <w:b/>
          <w:lang w:val="mk-MK"/>
        </w:rPr>
        <w:t>лав</w:t>
      </w:r>
      <w:r w:rsidR="00DF5DEE" w:rsidRPr="00B63768">
        <w:rPr>
          <w:rFonts w:cs="Tahoma"/>
          <w:b/>
          <w:lang w:val="mk-MK"/>
        </w:rPr>
        <w:t xml:space="preserve">но </w:t>
      </w:r>
      <w:r w:rsidR="00D41027" w:rsidRPr="00B63768">
        <w:rPr>
          <w:rFonts w:cs="Tahoma"/>
          <w:b/>
          <w:lang w:val="mk-MK"/>
        </w:rPr>
        <w:t>покажува</w:t>
      </w:r>
      <w:r w:rsidR="00DF5DEE">
        <w:rPr>
          <w:rFonts w:cs="Tahoma"/>
          <w:b/>
          <w:lang w:val="mk-MK"/>
        </w:rPr>
        <w:t>а</w:t>
      </w:r>
      <w:r w:rsidR="006F63B5">
        <w:rPr>
          <w:rFonts w:cs="Tahoma"/>
          <w:b/>
          <w:lang w:val="mk-MK"/>
        </w:rPr>
        <w:t>т</w:t>
      </w:r>
      <w:r w:rsidR="00D41027" w:rsidRPr="00B63768">
        <w:rPr>
          <w:rFonts w:cs="Tahoma"/>
          <w:b/>
          <w:lang w:val="mk-MK"/>
        </w:rPr>
        <w:t xml:space="preserve"> отпорност на банкарскиот систем на ликвидносни шокови. Според последните расположливи податоци, на крајот од мај 2013 година растот на ликвидните средства и понатаму забрзува и изнесува 10,9% на годишна основа.</w:t>
      </w:r>
    </w:p>
    <w:p w:rsidR="00D41027" w:rsidRPr="00B63768" w:rsidRDefault="00D41027" w:rsidP="00D41027">
      <w:pPr>
        <w:rPr>
          <w:rFonts w:cs="Tahoma"/>
          <w:lang w:val="mk-MK"/>
        </w:rPr>
      </w:pPr>
    </w:p>
    <w:p w:rsidR="00041242" w:rsidRPr="00B63768" w:rsidRDefault="00D41027" w:rsidP="000B3ED7">
      <w:pPr>
        <w:ind w:firstLine="540"/>
        <w:rPr>
          <w:rFonts w:cs="Tahoma"/>
          <w:lang w:val="mk-MK"/>
        </w:rPr>
      </w:pPr>
      <w:r w:rsidRPr="00B63768">
        <w:rPr>
          <w:rFonts w:cs="Tahoma"/>
          <w:b/>
          <w:lang w:val="mk-MK"/>
        </w:rPr>
        <w:t>На крајот од првиот квартал на 2013 година ликвидните средства</w:t>
      </w:r>
      <w:r w:rsidRPr="00B63768">
        <w:rPr>
          <w:rStyle w:val="FootnoteReference"/>
          <w:rFonts w:cs="Tahoma"/>
          <w:b/>
          <w:lang w:val="mk-MK"/>
        </w:rPr>
        <w:footnoteReference w:id="29"/>
      </w:r>
      <w:r w:rsidRPr="00B63768">
        <w:rPr>
          <w:rFonts w:cs="Tahoma"/>
          <w:b/>
          <w:lang w:val="mk-MK"/>
        </w:rPr>
        <w:t xml:space="preserve"> на ниво на банкарскиот </w:t>
      </w:r>
      <w:r w:rsidR="0064235F" w:rsidRPr="00B63768">
        <w:rPr>
          <w:rFonts w:cs="Tahoma"/>
          <w:b/>
          <w:lang w:val="mk-MK"/>
        </w:rPr>
        <w:t>систем</w:t>
      </w:r>
      <w:r w:rsidRPr="00B63768">
        <w:rPr>
          <w:rFonts w:cs="Tahoma"/>
          <w:lang w:val="mk-MK"/>
        </w:rPr>
        <w:t xml:space="preserve"> изнесуваат 113.911 милиони денари, бележејќи зголемување на квартална основа, од 2.997 милиони денари</w:t>
      </w:r>
      <w:r w:rsidR="00314856">
        <w:rPr>
          <w:rFonts w:cs="Tahoma"/>
          <w:lang w:val="mk-MK"/>
        </w:rPr>
        <w:t>,</w:t>
      </w:r>
      <w:r w:rsidRPr="00B63768">
        <w:rPr>
          <w:rFonts w:cs="Tahoma"/>
          <w:lang w:val="mk-MK"/>
        </w:rPr>
        <w:t xml:space="preserve"> односно за 2,7%</w:t>
      </w:r>
      <w:r w:rsidR="00D22DB7" w:rsidRPr="00B63768">
        <w:rPr>
          <w:rFonts w:cs="Tahoma"/>
          <w:lang w:val="mk-MK"/>
        </w:rPr>
        <w:t xml:space="preserve">, </w:t>
      </w:r>
      <w:r w:rsidRPr="00B63768">
        <w:rPr>
          <w:rFonts w:cs="Tahoma"/>
          <w:lang w:val="mk-MK"/>
        </w:rPr>
        <w:t xml:space="preserve">додека </w:t>
      </w:r>
      <w:r w:rsidR="000C7054" w:rsidRPr="00B63768">
        <w:rPr>
          <w:rFonts w:cs="Tahoma"/>
          <w:lang w:val="mk-MK"/>
        </w:rPr>
        <w:t xml:space="preserve">нивното </w:t>
      </w:r>
      <w:r w:rsidRPr="00B63768">
        <w:rPr>
          <w:rFonts w:cs="Tahoma"/>
          <w:lang w:val="mk-MK"/>
        </w:rPr>
        <w:t>годишно</w:t>
      </w:r>
      <w:r w:rsidR="000C7054" w:rsidRPr="00B63768">
        <w:rPr>
          <w:rFonts w:cs="Tahoma"/>
          <w:lang w:val="mk-MK"/>
        </w:rPr>
        <w:t xml:space="preserve"> </w:t>
      </w:r>
      <w:r w:rsidRPr="00B63768">
        <w:rPr>
          <w:rFonts w:cs="Tahoma"/>
          <w:lang w:val="mk-MK"/>
        </w:rPr>
        <w:t xml:space="preserve">зголемување изнесува </w:t>
      </w:r>
      <w:r w:rsidRPr="00B63768">
        <w:rPr>
          <w:rFonts w:cs="Tahoma"/>
          <w:lang w:val="mk-MK"/>
        </w:rPr>
        <w:lastRenderedPageBreak/>
        <w:t xml:space="preserve">10,6% (односно 10.942 </w:t>
      </w:r>
      <w:r w:rsidR="00314856" w:rsidRPr="00B63768">
        <w:rPr>
          <w:rFonts w:cs="Tahoma"/>
          <w:lang w:val="mk-MK"/>
        </w:rPr>
        <w:t>милион</w:t>
      </w:r>
      <w:r w:rsidR="00314856">
        <w:rPr>
          <w:rFonts w:cs="Tahoma"/>
          <w:lang w:val="mk-MK"/>
        </w:rPr>
        <w:t>а</w:t>
      </w:r>
      <w:r w:rsidR="00314856" w:rsidRPr="00B63768">
        <w:rPr>
          <w:rFonts w:cs="Tahoma"/>
          <w:lang w:val="mk-MK"/>
        </w:rPr>
        <w:t xml:space="preserve"> </w:t>
      </w:r>
      <w:r w:rsidRPr="00B63768">
        <w:rPr>
          <w:rFonts w:cs="Tahoma"/>
          <w:lang w:val="mk-MK"/>
        </w:rPr>
        <w:t>денари)</w:t>
      </w:r>
      <w:r w:rsidR="00D22DB7" w:rsidRPr="00B63768">
        <w:rPr>
          <w:rFonts w:cs="Tahoma"/>
          <w:lang w:val="mk-MK"/>
        </w:rPr>
        <w:t>.</w:t>
      </w:r>
      <w:r w:rsidRPr="00B63768">
        <w:rPr>
          <w:rFonts w:cs="Tahoma"/>
          <w:lang w:val="mk-MK"/>
        </w:rPr>
        <w:t xml:space="preserve"> </w:t>
      </w:r>
    </w:p>
    <w:p w:rsidR="00041242" w:rsidRPr="00B63768" w:rsidRDefault="00040D2C" w:rsidP="000B3ED7">
      <w:pPr>
        <w:ind w:firstLine="540"/>
        <w:rPr>
          <w:rFonts w:cs="Tahoma"/>
          <w:lang w:val="mk-MK"/>
        </w:rPr>
      </w:pPr>
      <w:r w:rsidRPr="00040D2C">
        <w:rPr>
          <w:rFonts w:cs="Tahoma"/>
          <w:lang w:val="mk-MK"/>
        </w:rPr>
        <w:pict>
          <v:shape id="_x0000_s1056" type="#_x0000_t202" style="position:absolute;left:0;text-align:left;margin-left:-225.45pt;margin-top:-21.6pt;width:216.75pt;height:262.85pt;z-index:251695104">
            <v:textbox style="mso-next-textbox:#_x0000_s1056">
              <w:txbxContent>
                <w:p w:rsidR="006F63B5" w:rsidRDefault="006F63B5" w:rsidP="00D41027">
                  <w:pPr>
                    <w:pStyle w:val="Caption"/>
                    <w:rPr>
                      <w:szCs w:val="20"/>
                      <w:lang w:val="mk-MK"/>
                    </w:rPr>
                  </w:pPr>
                  <w:r w:rsidRPr="003C7F30">
                    <w:rPr>
                      <w:szCs w:val="20"/>
                    </w:rPr>
                    <w:t xml:space="preserve">Графикон бр. </w:t>
                  </w:r>
                  <w:r w:rsidR="00040D2C" w:rsidRPr="003C7F30">
                    <w:rPr>
                      <w:szCs w:val="20"/>
                    </w:rPr>
                    <w:fldChar w:fldCharType="begin"/>
                  </w:r>
                  <w:r w:rsidRPr="003C7F30">
                    <w:rPr>
                      <w:szCs w:val="20"/>
                    </w:rPr>
                    <w:instrText xml:space="preserve"> SEQ Графикон_бр. \* ARABIC </w:instrText>
                  </w:r>
                  <w:r w:rsidR="00040D2C" w:rsidRPr="003C7F30">
                    <w:rPr>
                      <w:szCs w:val="20"/>
                    </w:rPr>
                    <w:fldChar w:fldCharType="separate"/>
                  </w:r>
                  <w:r w:rsidR="00D82BBF">
                    <w:rPr>
                      <w:noProof/>
                      <w:szCs w:val="20"/>
                    </w:rPr>
                    <w:t>31</w:t>
                  </w:r>
                  <w:r w:rsidR="00040D2C" w:rsidRPr="003C7F30">
                    <w:rPr>
                      <w:szCs w:val="20"/>
                    </w:rPr>
                    <w:fldChar w:fldCharType="end"/>
                  </w:r>
                  <w:r>
                    <w:rPr>
                      <w:lang w:val="mk-MK"/>
                    </w:rPr>
                    <w:t xml:space="preserve"> </w:t>
                  </w:r>
                  <w:r>
                    <w:rPr>
                      <w:rFonts w:cs="Tahoma"/>
                      <w:szCs w:val="20"/>
                      <w:lang w:val="mk-MK"/>
                    </w:rPr>
                    <w:t>Годишна стапка н</w:t>
                  </w:r>
                  <w:r w:rsidRPr="00BE5841">
                    <w:rPr>
                      <w:rFonts w:cs="Tahoma"/>
                      <w:szCs w:val="20"/>
                      <w:lang w:val="mk-MK"/>
                    </w:rPr>
                    <w:t xml:space="preserve">а промена </w:t>
                  </w:r>
                  <w:r>
                    <w:rPr>
                      <w:rFonts w:cs="Tahoma"/>
                      <w:szCs w:val="20"/>
                      <w:lang w:val="mk-MK"/>
                    </w:rPr>
                    <w:t xml:space="preserve">на финансиските инструменти коишто ги сочинуваат </w:t>
                  </w:r>
                  <w:r w:rsidRPr="00BE5841">
                    <w:rPr>
                      <w:rFonts w:cs="Tahoma"/>
                      <w:szCs w:val="20"/>
                      <w:lang w:val="mk-MK"/>
                    </w:rPr>
                    <w:t>л</w:t>
                  </w:r>
                  <w:r w:rsidRPr="00BE5841">
                    <w:rPr>
                      <w:szCs w:val="20"/>
                    </w:rPr>
                    <w:t>иквидн</w:t>
                  </w:r>
                  <w:r w:rsidRPr="00BE5841">
                    <w:rPr>
                      <w:szCs w:val="20"/>
                      <w:lang w:val="mk-MK"/>
                    </w:rPr>
                    <w:t>ите средства</w:t>
                  </w:r>
                </w:p>
                <w:p w:rsidR="006F63B5" w:rsidRDefault="006F63B5" w:rsidP="00D41027">
                  <w:pPr>
                    <w:rPr>
                      <w:lang w:val="mk-MK"/>
                    </w:rPr>
                  </w:pPr>
                  <w:r w:rsidRPr="003C7F30">
                    <w:rPr>
                      <w:noProof/>
                    </w:rPr>
                    <w:drawing>
                      <wp:inline distT="0" distB="0" distL="0" distR="0">
                        <wp:extent cx="2517116" cy="2311879"/>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2517218" cy="2311973"/>
                                </a:xfrm>
                                <a:prstGeom prst="rect">
                                  <a:avLst/>
                                </a:prstGeom>
                                <a:noFill/>
                                <a:ln w="9525">
                                  <a:noFill/>
                                  <a:miter lim="800000"/>
                                  <a:headEnd/>
                                  <a:tailEnd/>
                                </a:ln>
                              </pic:spPr>
                            </pic:pic>
                          </a:graphicData>
                        </a:graphic>
                      </wp:inline>
                    </w:drawing>
                  </w:r>
                </w:p>
                <w:p w:rsidR="006F63B5" w:rsidRPr="005A6118" w:rsidRDefault="006F63B5" w:rsidP="00D4102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3C7F30" w:rsidRDefault="006F63B5" w:rsidP="00D41027">
                  <w:pPr>
                    <w:rPr>
                      <w:lang w:val="mk-MK"/>
                    </w:rPr>
                  </w:pPr>
                </w:p>
              </w:txbxContent>
            </v:textbox>
          </v:shape>
        </w:pict>
      </w:r>
    </w:p>
    <w:p w:rsidR="00D41027" w:rsidRPr="00B63768" w:rsidRDefault="00040D2C" w:rsidP="000B3ED7">
      <w:pPr>
        <w:ind w:firstLine="540"/>
        <w:rPr>
          <w:rFonts w:cs="Tahoma"/>
          <w:lang w:val="mk-MK"/>
        </w:rPr>
      </w:pPr>
      <w:r w:rsidRPr="00040D2C">
        <w:rPr>
          <w:rFonts w:cs="Tahoma"/>
          <w:b/>
          <w:lang w:val="mk-MK"/>
        </w:rPr>
        <w:pict>
          <v:shape id="_x0000_s1057" type="#_x0000_t202" style="position:absolute;left:0;text-align:left;margin-left:-225.45pt;margin-top:367.9pt;width:213.1pt;height:255.75pt;z-index:251696128">
            <v:textbox>
              <w:txbxContent>
                <w:p w:rsidR="006F63B5" w:rsidRDefault="006F63B5" w:rsidP="00D41027">
                  <w:pPr>
                    <w:pStyle w:val="Caption"/>
                    <w:rPr>
                      <w:szCs w:val="20"/>
                      <w:lang w:val="mk-MK"/>
                    </w:rPr>
                  </w:pPr>
                  <w:r w:rsidRPr="003C7F30">
                    <w:rPr>
                      <w:szCs w:val="20"/>
                    </w:rPr>
                    <w:t xml:space="preserve">Графикон бр. </w:t>
                  </w:r>
                  <w:r w:rsidR="00040D2C" w:rsidRPr="003C7F30">
                    <w:rPr>
                      <w:szCs w:val="20"/>
                    </w:rPr>
                    <w:fldChar w:fldCharType="begin"/>
                  </w:r>
                  <w:r w:rsidRPr="003C7F30">
                    <w:rPr>
                      <w:szCs w:val="20"/>
                    </w:rPr>
                    <w:instrText xml:space="preserve"> SEQ Графикон_бр. \* ARABIC </w:instrText>
                  </w:r>
                  <w:r w:rsidR="00040D2C" w:rsidRPr="003C7F30">
                    <w:rPr>
                      <w:szCs w:val="20"/>
                    </w:rPr>
                    <w:fldChar w:fldCharType="separate"/>
                  </w:r>
                  <w:r w:rsidR="00D82BBF">
                    <w:rPr>
                      <w:noProof/>
                      <w:szCs w:val="20"/>
                    </w:rPr>
                    <w:t>32</w:t>
                  </w:r>
                  <w:r w:rsidR="00040D2C" w:rsidRPr="003C7F30">
                    <w:rPr>
                      <w:szCs w:val="20"/>
                    </w:rPr>
                    <w:fldChar w:fldCharType="end"/>
                  </w:r>
                  <w:r>
                    <w:rPr>
                      <w:lang w:val="mk-MK"/>
                    </w:rPr>
                    <w:t xml:space="preserve"> </w:t>
                  </w:r>
                  <w:r>
                    <w:rPr>
                      <w:rFonts w:cs="Tahoma"/>
                      <w:szCs w:val="20"/>
                      <w:lang w:val="mk-MK"/>
                    </w:rPr>
                    <w:t>П</w:t>
                  </w:r>
                  <w:r w:rsidRPr="0065337D">
                    <w:rPr>
                      <w:rFonts w:cs="Tahoma"/>
                      <w:szCs w:val="20"/>
                      <w:lang w:val="mk-MK"/>
                    </w:rPr>
                    <w:t>ромена на  л</w:t>
                  </w:r>
                  <w:r w:rsidRPr="0065337D">
                    <w:rPr>
                      <w:szCs w:val="20"/>
                    </w:rPr>
                    <w:t>иквидн</w:t>
                  </w:r>
                  <w:r w:rsidRPr="0065337D">
                    <w:rPr>
                      <w:szCs w:val="20"/>
                      <w:lang w:val="mk-MK"/>
                    </w:rPr>
                    <w:t>ите средства</w:t>
                  </w:r>
                  <w:r w:rsidRPr="0065337D">
                    <w:rPr>
                      <w:szCs w:val="20"/>
                    </w:rPr>
                    <w:t xml:space="preserve"> </w:t>
                  </w:r>
                  <w:r>
                    <w:rPr>
                      <w:szCs w:val="20"/>
                      <w:lang w:val="mk-MK"/>
                    </w:rPr>
                    <w:t>според валутата</w:t>
                  </w:r>
                </w:p>
                <w:p w:rsidR="006F63B5" w:rsidRDefault="006F63B5" w:rsidP="00D41027">
                  <w:pPr>
                    <w:rPr>
                      <w:lang w:val="mk-MK"/>
                    </w:rPr>
                  </w:pPr>
                  <w:r w:rsidRPr="003C7F30">
                    <w:rPr>
                      <w:noProof/>
                    </w:rPr>
                    <w:drawing>
                      <wp:inline distT="0" distB="0" distL="0" distR="0">
                        <wp:extent cx="2516481" cy="2320506"/>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2520379" cy="2324100"/>
                                </a:xfrm>
                                <a:prstGeom prst="rect">
                                  <a:avLst/>
                                </a:prstGeom>
                                <a:noFill/>
                                <a:ln w="9525">
                                  <a:noFill/>
                                  <a:miter lim="800000"/>
                                  <a:headEnd/>
                                  <a:tailEnd/>
                                </a:ln>
                              </pic:spPr>
                            </pic:pic>
                          </a:graphicData>
                        </a:graphic>
                      </wp:inline>
                    </w:drawing>
                  </w:r>
                </w:p>
                <w:p w:rsidR="006F63B5" w:rsidRPr="005A6118" w:rsidRDefault="006F63B5" w:rsidP="00D4102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3C7F30" w:rsidRDefault="006F63B5" w:rsidP="00D41027">
                  <w:pPr>
                    <w:rPr>
                      <w:lang w:val="mk-MK"/>
                    </w:rPr>
                  </w:pPr>
                </w:p>
              </w:txbxContent>
            </v:textbox>
          </v:shape>
        </w:pict>
      </w:r>
      <w:r w:rsidR="00D41027" w:rsidRPr="00B63768">
        <w:rPr>
          <w:rFonts w:cs="Tahoma"/>
          <w:lang w:val="mk-MK"/>
        </w:rPr>
        <w:t xml:space="preserve">Според одделните финансиски инструменти, </w:t>
      </w:r>
      <w:r w:rsidR="009179C1" w:rsidRPr="00B63768">
        <w:rPr>
          <w:rFonts w:cs="Tahoma"/>
          <w:lang w:val="mk-MK"/>
        </w:rPr>
        <w:t xml:space="preserve">во првиот квартал од 2013 година </w:t>
      </w:r>
      <w:r w:rsidR="009179C1">
        <w:rPr>
          <w:rFonts w:cs="Tahoma"/>
          <w:lang w:val="mk-MK"/>
        </w:rPr>
        <w:t xml:space="preserve">растот на </w:t>
      </w:r>
      <w:r w:rsidR="00D41027" w:rsidRPr="00B63768">
        <w:rPr>
          <w:rFonts w:cs="Tahoma"/>
          <w:lang w:val="mk-MK"/>
        </w:rPr>
        <w:t xml:space="preserve">ликвидните средства во целост </w:t>
      </w:r>
      <w:r w:rsidR="009179C1">
        <w:rPr>
          <w:rFonts w:cs="Tahoma"/>
          <w:lang w:val="mk-MK"/>
        </w:rPr>
        <w:t xml:space="preserve">произлезе од </w:t>
      </w:r>
      <w:r w:rsidR="00D41027" w:rsidRPr="00B63768">
        <w:rPr>
          <w:rFonts w:cs="Tahoma"/>
          <w:lang w:val="mk-MK"/>
        </w:rPr>
        <w:t>државните записи</w:t>
      </w:r>
      <w:r w:rsidR="009179C1">
        <w:rPr>
          <w:rFonts w:cs="Tahoma"/>
          <w:lang w:val="mk-MK"/>
        </w:rPr>
        <w:t>,</w:t>
      </w:r>
      <w:r w:rsidR="00D41027" w:rsidRPr="00B63768">
        <w:rPr>
          <w:rFonts w:cs="Tahoma"/>
          <w:lang w:val="mk-MK"/>
        </w:rPr>
        <w:t xml:space="preserve"> </w:t>
      </w:r>
      <w:r w:rsidR="009179C1">
        <w:rPr>
          <w:rFonts w:cs="Tahoma"/>
          <w:lang w:val="mk-MK"/>
        </w:rPr>
        <w:t>коишто бележеа</w:t>
      </w:r>
      <w:r w:rsidR="00D41027" w:rsidRPr="00B63768">
        <w:rPr>
          <w:rFonts w:cs="Tahoma"/>
          <w:lang w:val="mk-MK"/>
        </w:rPr>
        <w:t xml:space="preserve"> квартален раст од 2.615 милиони денари, но и </w:t>
      </w:r>
      <w:r w:rsidR="009179C1">
        <w:rPr>
          <w:rFonts w:cs="Tahoma"/>
          <w:lang w:val="mk-MK"/>
        </w:rPr>
        <w:t>од</w:t>
      </w:r>
      <w:r w:rsidR="009179C1" w:rsidRPr="00B63768">
        <w:rPr>
          <w:rFonts w:cs="Tahoma"/>
          <w:lang w:val="mk-MK"/>
        </w:rPr>
        <w:t xml:space="preserve"> </w:t>
      </w:r>
      <w:r w:rsidR="00D41027" w:rsidRPr="00B63768">
        <w:rPr>
          <w:rFonts w:cs="Tahoma"/>
          <w:lang w:val="mk-MK"/>
        </w:rPr>
        <w:t xml:space="preserve">паричните средства и депозитите кај Народната банка со квартален раст од 2.833 милиони денари. </w:t>
      </w:r>
      <w:r w:rsidR="00973A14" w:rsidRPr="00B63768">
        <w:rPr>
          <w:rFonts w:cs="Tahoma"/>
          <w:lang w:val="mk-MK"/>
        </w:rPr>
        <w:t>Н</w:t>
      </w:r>
      <w:r w:rsidR="00D41027" w:rsidRPr="00B63768">
        <w:rPr>
          <w:rFonts w:cs="Tahoma"/>
          <w:lang w:val="mk-MK"/>
        </w:rPr>
        <w:t xml:space="preserve">а годишна основа, </w:t>
      </w:r>
      <w:r w:rsidR="009179C1" w:rsidRPr="00B63768">
        <w:rPr>
          <w:rFonts w:cs="Tahoma"/>
          <w:lang w:val="mk-MK"/>
        </w:rPr>
        <w:t>вложувањата на банките во државни записи</w:t>
      </w:r>
      <w:r w:rsidR="009179C1">
        <w:rPr>
          <w:rFonts w:cs="Tahoma"/>
          <w:lang w:val="mk-MK"/>
        </w:rPr>
        <w:t xml:space="preserve"> претставуваат </w:t>
      </w:r>
      <w:r w:rsidR="00D41027" w:rsidRPr="00B63768">
        <w:rPr>
          <w:rFonts w:cs="Tahoma"/>
          <w:lang w:val="mk-MK"/>
        </w:rPr>
        <w:t xml:space="preserve">компонента </w:t>
      </w:r>
      <w:r w:rsidR="009179C1">
        <w:rPr>
          <w:rFonts w:cs="Tahoma"/>
          <w:lang w:val="mk-MK"/>
        </w:rPr>
        <w:t>со најбрз раст</w:t>
      </w:r>
      <w:r w:rsidR="00D41027" w:rsidRPr="00B63768">
        <w:rPr>
          <w:rFonts w:cs="Tahoma"/>
          <w:lang w:val="mk-MK"/>
        </w:rPr>
        <w:t xml:space="preserve"> </w:t>
      </w:r>
      <w:r w:rsidR="009179C1" w:rsidRPr="00B63768">
        <w:rPr>
          <w:rFonts w:cs="Tahoma"/>
          <w:lang w:val="mk-MK"/>
        </w:rPr>
        <w:t>од 109,7%</w:t>
      </w:r>
      <w:r w:rsidR="00D41027" w:rsidRPr="00B63768">
        <w:rPr>
          <w:rFonts w:cs="Tahoma"/>
          <w:lang w:val="mk-MK"/>
        </w:rPr>
        <w:t xml:space="preserve">, но и паричните средства и средствата кај </w:t>
      </w:r>
      <w:r w:rsidR="002F3736" w:rsidRPr="00B63768">
        <w:rPr>
          <w:rFonts w:cs="Tahoma"/>
          <w:lang w:val="mk-MK"/>
        </w:rPr>
        <w:t xml:space="preserve">Народната банка </w:t>
      </w:r>
      <w:r w:rsidR="009179C1">
        <w:rPr>
          <w:rFonts w:cs="Tahoma"/>
          <w:lang w:val="mk-MK"/>
        </w:rPr>
        <w:t>бележат</w:t>
      </w:r>
      <w:r w:rsidR="009179C1" w:rsidRPr="00B63768">
        <w:rPr>
          <w:rFonts w:cs="Tahoma"/>
          <w:lang w:val="mk-MK"/>
        </w:rPr>
        <w:t xml:space="preserve"> </w:t>
      </w:r>
      <w:r w:rsidR="00D41027" w:rsidRPr="00B63768">
        <w:rPr>
          <w:rFonts w:cs="Tahoma"/>
          <w:lang w:val="mk-MK"/>
        </w:rPr>
        <w:t xml:space="preserve">раст од 53,8%. Наспроти ова, благајничките записи забележаа пад на годишна основа за 40,6%. Промените во оперативната рамка за спроведување на монетарната политика на </w:t>
      </w:r>
      <w:r w:rsidR="002F3736" w:rsidRPr="00B63768">
        <w:rPr>
          <w:rFonts w:cs="Tahoma"/>
          <w:lang w:val="mk-MK"/>
        </w:rPr>
        <w:t>Народната банка</w:t>
      </w:r>
      <w:r w:rsidR="000C7054" w:rsidRPr="00B63768">
        <w:rPr>
          <w:rFonts w:cs="Tahoma"/>
          <w:lang w:val="mk-MK"/>
        </w:rPr>
        <w:t>, во услови на забавена кредитна активност на банките,</w:t>
      </w:r>
      <w:r w:rsidR="00D41027" w:rsidRPr="00B63768">
        <w:rPr>
          <w:rFonts w:cs="Tahoma"/>
          <w:lang w:val="mk-MK"/>
        </w:rPr>
        <w:t xml:space="preserve"> </w:t>
      </w:r>
      <w:r w:rsidR="00A004AB">
        <w:rPr>
          <w:rFonts w:cs="Tahoma"/>
          <w:lang w:val="mk-MK"/>
        </w:rPr>
        <w:t>придонесоа за</w:t>
      </w:r>
      <w:r w:rsidR="00D41027" w:rsidRPr="00B63768">
        <w:rPr>
          <w:rFonts w:cs="Tahoma"/>
          <w:lang w:val="mk-MK"/>
        </w:rPr>
        <w:t xml:space="preserve"> </w:t>
      </w:r>
      <w:r w:rsidR="00A004AB" w:rsidRPr="00B63768">
        <w:rPr>
          <w:rFonts w:cs="Tahoma"/>
          <w:lang w:val="mk-MK"/>
        </w:rPr>
        <w:t>преориент</w:t>
      </w:r>
      <w:r w:rsidR="00A004AB">
        <w:rPr>
          <w:rFonts w:cs="Tahoma"/>
          <w:lang w:val="mk-MK"/>
        </w:rPr>
        <w:t>ирање</w:t>
      </w:r>
      <w:r w:rsidR="00A004AB" w:rsidRPr="00B63768">
        <w:rPr>
          <w:rFonts w:cs="Tahoma"/>
          <w:lang w:val="mk-MK"/>
        </w:rPr>
        <w:t xml:space="preserve"> </w:t>
      </w:r>
      <w:r w:rsidR="00D41027" w:rsidRPr="00B63768">
        <w:rPr>
          <w:rFonts w:cs="Tahoma"/>
          <w:lang w:val="mk-MK"/>
        </w:rPr>
        <w:t>на банките од пазарот на благајнички записи кон примарниот пазар на државни записи, каде</w:t>
      </w:r>
      <w:r w:rsidR="00A004AB">
        <w:rPr>
          <w:rFonts w:cs="Tahoma"/>
          <w:lang w:val="mk-MK"/>
        </w:rPr>
        <w:t xml:space="preserve"> </w:t>
      </w:r>
      <w:r w:rsidR="00D41027" w:rsidRPr="00B63768">
        <w:rPr>
          <w:rFonts w:cs="Tahoma"/>
          <w:lang w:val="mk-MK"/>
        </w:rPr>
        <w:t xml:space="preserve">што и понудата од страна на емитентот беше зголемена. Покрај ова, растот на паричните средства и на депозитите во Народната банка, во одреден степен е </w:t>
      </w:r>
      <w:r w:rsidR="00A004AB">
        <w:rPr>
          <w:rFonts w:cs="Tahoma"/>
          <w:lang w:val="mk-MK"/>
        </w:rPr>
        <w:t>условен</w:t>
      </w:r>
      <w:r w:rsidR="00D41027" w:rsidRPr="00B63768">
        <w:rPr>
          <w:rFonts w:cs="Tahoma"/>
          <w:lang w:val="mk-MK"/>
        </w:rPr>
        <w:t xml:space="preserve"> и од потребата на банките за акумулирање средства за исплата на дивиденди кон странските акционери во домашните компании кои</w:t>
      </w:r>
      <w:r w:rsidR="00A004AB">
        <w:rPr>
          <w:rFonts w:cs="Tahoma"/>
          <w:lang w:val="mk-MK"/>
        </w:rPr>
        <w:t>што</w:t>
      </w:r>
      <w:r w:rsidR="00D41027" w:rsidRPr="00B63768">
        <w:rPr>
          <w:rFonts w:cs="Tahoma"/>
          <w:lang w:val="mk-MK"/>
        </w:rPr>
        <w:t xml:space="preserve"> вообичаено се случуваат во вториот квартал на годината. </w:t>
      </w:r>
      <w:r w:rsidR="00A004AB">
        <w:rPr>
          <w:rFonts w:cs="Tahoma"/>
          <w:lang w:val="mk-MK"/>
        </w:rPr>
        <w:t>Поради о</w:t>
      </w:r>
      <w:r w:rsidR="00A004AB" w:rsidRPr="00B63768">
        <w:rPr>
          <w:rFonts w:cs="Tahoma"/>
          <w:lang w:val="mk-MK"/>
        </w:rPr>
        <w:t xml:space="preserve">вие </w:t>
      </w:r>
      <w:r w:rsidR="00D41027" w:rsidRPr="00B63768">
        <w:rPr>
          <w:rFonts w:cs="Tahoma"/>
          <w:lang w:val="mk-MK"/>
        </w:rPr>
        <w:t>движења</w:t>
      </w:r>
      <w:r w:rsidR="00A004AB">
        <w:rPr>
          <w:rFonts w:cs="Tahoma"/>
          <w:lang w:val="mk-MK"/>
        </w:rPr>
        <w:t xml:space="preserve">, </w:t>
      </w:r>
      <w:r w:rsidR="00D41027" w:rsidRPr="00B63768">
        <w:rPr>
          <w:rFonts w:cs="Tahoma"/>
          <w:lang w:val="mk-MK"/>
        </w:rPr>
        <w:t>државните записи на крајот од првиот квартал на 2013 година</w:t>
      </w:r>
      <w:r w:rsidR="00A004AB">
        <w:rPr>
          <w:rFonts w:cs="Tahoma"/>
          <w:lang w:val="mk-MK"/>
        </w:rPr>
        <w:t xml:space="preserve"> го забележаа</w:t>
      </w:r>
      <w:r w:rsidR="00D41027" w:rsidRPr="00B63768">
        <w:rPr>
          <w:rFonts w:cs="Tahoma"/>
          <w:lang w:val="mk-MK"/>
        </w:rPr>
        <w:t xml:space="preserve"> историски највисоко</w:t>
      </w:r>
      <w:r w:rsidR="00A004AB">
        <w:rPr>
          <w:rFonts w:cs="Tahoma"/>
          <w:lang w:val="mk-MK"/>
        </w:rPr>
        <w:t>то</w:t>
      </w:r>
      <w:r w:rsidR="00D41027" w:rsidRPr="00B63768">
        <w:rPr>
          <w:rFonts w:cs="Tahoma"/>
          <w:lang w:val="mk-MK"/>
        </w:rPr>
        <w:t xml:space="preserve"> учество</w:t>
      </w:r>
      <w:r w:rsidR="00FA627C" w:rsidRPr="00B63768">
        <w:rPr>
          <w:rFonts w:cs="Tahoma"/>
          <w:lang w:val="mk-MK"/>
        </w:rPr>
        <w:t xml:space="preserve"> во структурата на ликвидните средства</w:t>
      </w:r>
      <w:r w:rsidR="00D41027" w:rsidRPr="00B63768">
        <w:rPr>
          <w:rFonts w:cs="Tahoma"/>
          <w:lang w:val="mk-MK"/>
        </w:rPr>
        <w:t>, за разлика од учеството на благајничките записи и на краткорочните депозити во странски банки</w:t>
      </w:r>
      <w:r w:rsidR="00A004AB">
        <w:rPr>
          <w:rFonts w:cs="Tahoma"/>
          <w:lang w:val="mk-MK"/>
        </w:rPr>
        <w:t>,</w:t>
      </w:r>
      <w:r w:rsidR="00D41027" w:rsidRPr="00B63768">
        <w:rPr>
          <w:rFonts w:cs="Tahoma"/>
          <w:lang w:val="mk-MK"/>
        </w:rPr>
        <w:t xml:space="preserve"> каде што продолжи трендот на намалување.</w:t>
      </w:r>
    </w:p>
    <w:p w:rsidR="00041242" w:rsidRPr="00B63768" w:rsidRDefault="00041242" w:rsidP="00D41027">
      <w:pPr>
        <w:ind w:firstLine="540"/>
        <w:rPr>
          <w:rFonts w:cs="Tahoma"/>
          <w:lang w:val="mk-MK"/>
        </w:rPr>
      </w:pPr>
    </w:p>
    <w:p w:rsidR="00D41027" w:rsidRPr="00B63768" w:rsidRDefault="00D41027" w:rsidP="00D41027">
      <w:pPr>
        <w:ind w:firstLine="540"/>
        <w:rPr>
          <w:rFonts w:cs="Tahoma"/>
          <w:lang w:val="mk-MK"/>
        </w:rPr>
      </w:pPr>
      <w:r w:rsidRPr="00B63768">
        <w:rPr>
          <w:rFonts w:cs="Tahoma"/>
          <w:lang w:val="mk-MK"/>
        </w:rPr>
        <w:t>Од аспект на валутната структура на ликвидните средства и во првиот квартал на 2013 година дојде до зголемување на денарските, а пад на ликвидни</w:t>
      </w:r>
      <w:r w:rsidR="00A004AB">
        <w:rPr>
          <w:rFonts w:cs="Tahoma"/>
          <w:lang w:val="mk-MK"/>
        </w:rPr>
        <w:t>те</w:t>
      </w:r>
      <w:r w:rsidRPr="00B63768">
        <w:rPr>
          <w:rFonts w:cs="Tahoma"/>
          <w:lang w:val="mk-MK"/>
        </w:rPr>
        <w:t xml:space="preserve"> средства во девизи. Ова соодве</w:t>
      </w:r>
      <w:r w:rsidR="00A004AB">
        <w:rPr>
          <w:rFonts w:cs="Tahoma"/>
          <w:lang w:val="mk-MK"/>
        </w:rPr>
        <w:t>т</w:t>
      </w:r>
      <w:r w:rsidRPr="00B63768">
        <w:rPr>
          <w:rFonts w:cs="Tahoma"/>
          <w:lang w:val="mk-MK"/>
        </w:rPr>
        <w:t>ствува со промените на одделните финансиски инструменти коишто ја сочинува</w:t>
      </w:r>
      <w:r w:rsidR="00A004AB">
        <w:rPr>
          <w:rFonts w:cs="Tahoma"/>
          <w:lang w:val="mk-MK"/>
        </w:rPr>
        <w:t>а</w:t>
      </w:r>
      <w:r w:rsidRPr="00B63768">
        <w:rPr>
          <w:rFonts w:cs="Tahoma"/>
          <w:lang w:val="mk-MK"/>
        </w:rPr>
        <w:t xml:space="preserve">т ликвидната актива, а особено растот на државните записи и депозитите во </w:t>
      </w:r>
      <w:r w:rsidR="002F3736" w:rsidRPr="00B63768">
        <w:rPr>
          <w:rFonts w:cs="Tahoma"/>
          <w:lang w:val="mk-MK"/>
        </w:rPr>
        <w:lastRenderedPageBreak/>
        <w:t>Народната банка</w:t>
      </w:r>
      <w:r w:rsidRPr="00B63768">
        <w:rPr>
          <w:rFonts w:cs="Tahoma"/>
          <w:lang w:val="mk-MK"/>
        </w:rPr>
        <w:t xml:space="preserve">. Од друга страна, во првиот квартал од 2013 година дојде до пад на главната компонента на девизните ликвидни средства - </w:t>
      </w:r>
      <w:r w:rsidR="00A004AB" w:rsidRPr="00B63768">
        <w:rPr>
          <w:rFonts w:cs="Tahoma"/>
          <w:lang w:val="mk-MK"/>
        </w:rPr>
        <w:t>краткор</w:t>
      </w:r>
      <w:r w:rsidR="00A004AB">
        <w:rPr>
          <w:rFonts w:cs="Tahoma"/>
          <w:lang w:val="mk-MK"/>
        </w:rPr>
        <w:t>о</w:t>
      </w:r>
      <w:r w:rsidR="00A004AB" w:rsidRPr="00B63768">
        <w:rPr>
          <w:rFonts w:cs="Tahoma"/>
          <w:lang w:val="mk-MK"/>
        </w:rPr>
        <w:t xml:space="preserve">чните </w:t>
      </w:r>
      <w:r w:rsidRPr="00B63768">
        <w:rPr>
          <w:rFonts w:cs="Tahoma"/>
          <w:lang w:val="mk-MK"/>
        </w:rPr>
        <w:t xml:space="preserve">депозити во странски банки за 1,6%, односно за 473 милиони денари. Имајќи го предвид исклучително ниското ниво на каматни стапки на меѓубанкарските пазари во </w:t>
      </w:r>
      <w:r w:rsidR="002D1170">
        <w:rPr>
          <w:rFonts w:cs="Tahoma"/>
          <w:lang w:val="mk-MK"/>
        </w:rPr>
        <w:t>евро-зона</w:t>
      </w:r>
      <w:r w:rsidRPr="00B63768">
        <w:rPr>
          <w:rFonts w:cs="Tahoma"/>
          <w:lang w:val="mk-MK"/>
        </w:rPr>
        <w:t xml:space="preserve">та, динамиката на </w:t>
      </w:r>
      <w:r w:rsidR="000C7054" w:rsidRPr="00B63768">
        <w:rPr>
          <w:rFonts w:cs="Tahoma"/>
          <w:lang w:val="mk-MK"/>
        </w:rPr>
        <w:t xml:space="preserve">промена на </w:t>
      </w:r>
      <w:r w:rsidRPr="00B63768">
        <w:rPr>
          <w:rFonts w:cs="Tahoma"/>
          <w:lang w:val="mk-MK"/>
        </w:rPr>
        <w:t xml:space="preserve">валутната структура на ликвидните средства покажува дека разликата во приносот меѓу девизните и денарските ликвидни финансиски инструменти </w:t>
      </w:r>
      <w:r w:rsidR="00A004AB" w:rsidRPr="00B63768">
        <w:rPr>
          <w:rFonts w:cs="Tahoma"/>
          <w:lang w:val="mk-MK"/>
        </w:rPr>
        <w:t>с</w:t>
      </w:r>
      <w:r w:rsidR="00A004AB">
        <w:rPr>
          <w:rFonts w:cs="Tahoma"/>
          <w:lang w:val="mk-MK"/>
        </w:rPr>
        <w:t xml:space="preserve">ѐ </w:t>
      </w:r>
      <w:r w:rsidR="00A004AB" w:rsidRPr="00B63768">
        <w:rPr>
          <w:rFonts w:cs="Tahoma"/>
          <w:lang w:val="mk-MK"/>
        </w:rPr>
        <w:t xml:space="preserve">уште </w:t>
      </w:r>
      <w:r w:rsidRPr="00B63768">
        <w:rPr>
          <w:rFonts w:cs="Tahoma"/>
          <w:lang w:val="mk-MK"/>
        </w:rPr>
        <w:t xml:space="preserve">е </w:t>
      </w:r>
      <w:r w:rsidR="00A004AB">
        <w:rPr>
          <w:rFonts w:cs="Tahoma"/>
          <w:lang w:val="mk-MK"/>
        </w:rPr>
        <w:t>привлеч</w:t>
      </w:r>
      <w:r w:rsidR="00A004AB" w:rsidRPr="00B63768">
        <w:rPr>
          <w:rFonts w:cs="Tahoma"/>
          <w:lang w:val="mk-MK"/>
        </w:rPr>
        <w:t xml:space="preserve">на </w:t>
      </w:r>
      <w:r w:rsidRPr="00B63768">
        <w:rPr>
          <w:rFonts w:cs="Tahoma"/>
          <w:lang w:val="mk-MK"/>
        </w:rPr>
        <w:t>за македонските банки</w:t>
      </w:r>
      <w:r w:rsidR="00A004AB">
        <w:rPr>
          <w:rFonts w:cs="Tahoma"/>
          <w:lang w:val="mk-MK"/>
        </w:rPr>
        <w:t>, п</w:t>
      </w:r>
      <w:r w:rsidRPr="00B63768">
        <w:rPr>
          <w:rFonts w:cs="Tahoma"/>
          <w:lang w:val="mk-MK"/>
        </w:rPr>
        <w:t xml:space="preserve">а </w:t>
      </w:r>
      <w:r w:rsidR="00A004AB">
        <w:rPr>
          <w:rFonts w:cs="Tahoma"/>
          <w:lang w:val="mk-MK"/>
        </w:rPr>
        <w:t xml:space="preserve">затоа тие </w:t>
      </w:r>
      <w:r w:rsidR="00A004AB" w:rsidRPr="00B63768">
        <w:rPr>
          <w:rFonts w:cs="Tahoma"/>
          <w:lang w:val="mk-MK"/>
        </w:rPr>
        <w:t>г</w:t>
      </w:r>
      <w:r w:rsidR="00A004AB">
        <w:rPr>
          <w:rFonts w:cs="Tahoma"/>
          <w:lang w:val="mk-MK"/>
        </w:rPr>
        <w:t>о</w:t>
      </w:r>
      <w:r w:rsidR="00A004AB" w:rsidRPr="00B63768">
        <w:rPr>
          <w:rFonts w:cs="Tahoma"/>
          <w:lang w:val="mk-MK"/>
        </w:rPr>
        <w:t xml:space="preserve"> влож</w:t>
      </w:r>
      <w:r w:rsidR="00A004AB">
        <w:rPr>
          <w:rFonts w:cs="Tahoma"/>
          <w:lang w:val="mk-MK"/>
        </w:rPr>
        <w:t>ува</w:t>
      </w:r>
      <w:r w:rsidR="00A004AB" w:rsidRPr="00B63768">
        <w:rPr>
          <w:rFonts w:cs="Tahoma"/>
          <w:lang w:val="mk-MK"/>
        </w:rPr>
        <w:t xml:space="preserve">ат </w:t>
      </w:r>
      <w:r w:rsidRPr="00B63768">
        <w:rPr>
          <w:rFonts w:cs="Tahoma"/>
          <w:lang w:val="mk-MK"/>
        </w:rPr>
        <w:t>поголем</w:t>
      </w:r>
      <w:r w:rsidR="00A004AB">
        <w:rPr>
          <w:rFonts w:cs="Tahoma"/>
          <w:lang w:val="mk-MK"/>
        </w:rPr>
        <w:t>иот</w:t>
      </w:r>
      <w:r w:rsidRPr="00B63768">
        <w:rPr>
          <w:rFonts w:cs="Tahoma"/>
          <w:lang w:val="mk-MK"/>
        </w:rPr>
        <w:t xml:space="preserve"> дел од своите извори на средства во домашни ликвидни финансиски инструменти. Покрај ова, </w:t>
      </w:r>
      <w:r w:rsidR="0097039F">
        <w:rPr>
          <w:rFonts w:cs="Tahoma"/>
          <w:lang w:val="mk-MK"/>
        </w:rPr>
        <w:t>воздржаноста</w:t>
      </w:r>
      <w:r w:rsidR="00A004AB" w:rsidRPr="00B63768">
        <w:rPr>
          <w:rFonts w:cs="Tahoma"/>
          <w:lang w:val="mk-MK"/>
        </w:rPr>
        <w:t xml:space="preserve"> </w:t>
      </w:r>
      <w:r w:rsidRPr="00B63768">
        <w:rPr>
          <w:rFonts w:cs="Tahoma"/>
          <w:lang w:val="mk-MK"/>
        </w:rPr>
        <w:t xml:space="preserve">на банките </w:t>
      </w:r>
      <w:r w:rsidR="000A525F">
        <w:rPr>
          <w:rFonts w:cs="Tahoma"/>
          <w:lang w:val="mk-MK"/>
        </w:rPr>
        <w:t>од</w:t>
      </w:r>
      <w:r w:rsidR="00A004AB" w:rsidRPr="00B63768">
        <w:rPr>
          <w:rFonts w:cs="Tahoma"/>
          <w:lang w:val="mk-MK"/>
        </w:rPr>
        <w:t xml:space="preserve"> </w:t>
      </w:r>
      <w:r w:rsidRPr="00B63768">
        <w:rPr>
          <w:rFonts w:cs="Tahoma"/>
          <w:lang w:val="mk-MK"/>
        </w:rPr>
        <w:t>преземање</w:t>
      </w:r>
      <w:r w:rsidR="00A004AB">
        <w:rPr>
          <w:rFonts w:cs="Tahoma"/>
          <w:lang w:val="mk-MK"/>
        </w:rPr>
        <w:t>то</w:t>
      </w:r>
      <w:r w:rsidRPr="00B63768">
        <w:rPr>
          <w:rFonts w:cs="Tahoma"/>
          <w:lang w:val="mk-MK"/>
        </w:rPr>
        <w:t xml:space="preserve"> кредитен ризик</w:t>
      </w:r>
      <w:r w:rsidR="002F3736" w:rsidRPr="00B63768">
        <w:rPr>
          <w:rFonts w:cs="Tahoma"/>
          <w:lang w:val="mk-MK"/>
        </w:rPr>
        <w:t>, во првиот квартал на 2013 година,</w:t>
      </w:r>
      <w:r w:rsidRPr="00B63768">
        <w:rPr>
          <w:rFonts w:cs="Tahoma"/>
          <w:lang w:val="mk-MK"/>
        </w:rPr>
        <w:t xml:space="preserve"> </w:t>
      </w:r>
      <w:r w:rsidR="0030485C" w:rsidRPr="00B63768">
        <w:rPr>
          <w:rFonts w:cs="Tahoma"/>
          <w:lang w:val="mk-MK"/>
        </w:rPr>
        <w:t xml:space="preserve">се </w:t>
      </w:r>
      <w:r w:rsidR="0030485C">
        <w:rPr>
          <w:rFonts w:cs="Tahoma"/>
          <w:lang w:val="mk-MK"/>
        </w:rPr>
        <w:t>согледува</w:t>
      </w:r>
      <w:r w:rsidR="0030485C" w:rsidRPr="00B63768">
        <w:rPr>
          <w:rFonts w:cs="Tahoma"/>
          <w:lang w:val="mk-MK"/>
        </w:rPr>
        <w:t xml:space="preserve"> и </w:t>
      </w:r>
      <w:r w:rsidR="0030485C">
        <w:rPr>
          <w:rFonts w:cs="Tahoma"/>
          <w:lang w:val="mk-MK"/>
        </w:rPr>
        <w:t>преку</w:t>
      </w:r>
      <w:r w:rsidR="0030485C" w:rsidRPr="00B63768">
        <w:rPr>
          <w:rFonts w:cs="Tahoma"/>
          <w:lang w:val="mk-MK"/>
        </w:rPr>
        <w:t xml:space="preserve"> </w:t>
      </w:r>
      <w:r w:rsidRPr="00B63768">
        <w:rPr>
          <w:rFonts w:cs="Tahoma"/>
          <w:lang w:val="mk-MK"/>
        </w:rPr>
        <w:t xml:space="preserve">постепеното зголемување на делот од новите извори на средства </w:t>
      </w:r>
      <w:r w:rsidR="002F3736" w:rsidRPr="00B63768">
        <w:rPr>
          <w:rFonts w:cs="Tahoma"/>
          <w:lang w:val="mk-MK"/>
        </w:rPr>
        <w:t xml:space="preserve">којшто </w:t>
      </w:r>
      <w:r w:rsidRPr="00B63768">
        <w:rPr>
          <w:rFonts w:cs="Tahoma"/>
          <w:lang w:val="mk-MK"/>
        </w:rPr>
        <w:t xml:space="preserve">се пласира во ликвидни инструменти. Така, во првиот квартал на 2013 година, </w:t>
      </w:r>
      <w:r w:rsidR="00A004AB" w:rsidRPr="00B63768">
        <w:rPr>
          <w:rFonts w:cs="Tahoma"/>
          <w:lang w:val="mk-MK"/>
        </w:rPr>
        <w:t xml:space="preserve">банките пласираа </w:t>
      </w:r>
      <w:r w:rsidRPr="00B63768">
        <w:rPr>
          <w:rFonts w:cs="Tahoma"/>
          <w:lang w:val="mk-MK"/>
        </w:rPr>
        <w:t>53,4%</w:t>
      </w:r>
      <w:r w:rsidR="00A004AB">
        <w:rPr>
          <w:rFonts w:cs="Tahoma"/>
          <w:lang w:val="mk-MK"/>
        </w:rPr>
        <w:t>,</w:t>
      </w:r>
      <w:r w:rsidRPr="00B63768">
        <w:rPr>
          <w:rFonts w:cs="Tahoma"/>
          <w:lang w:val="mk-MK"/>
        </w:rPr>
        <w:t xml:space="preserve"> </w:t>
      </w:r>
      <w:r w:rsidR="00A004AB" w:rsidRPr="00B63768">
        <w:rPr>
          <w:rFonts w:cs="Tahoma"/>
          <w:lang w:val="mk-MK"/>
        </w:rPr>
        <w:t>во просек</w:t>
      </w:r>
      <w:r w:rsidR="00A004AB">
        <w:rPr>
          <w:rFonts w:cs="Tahoma"/>
          <w:lang w:val="mk-MK"/>
        </w:rPr>
        <w:t>,</w:t>
      </w:r>
      <w:r w:rsidR="00A004AB" w:rsidRPr="00B63768">
        <w:rPr>
          <w:rFonts w:cs="Tahoma"/>
          <w:lang w:val="mk-MK"/>
        </w:rPr>
        <w:t xml:space="preserve"> </w:t>
      </w:r>
      <w:r w:rsidRPr="00B63768">
        <w:rPr>
          <w:rFonts w:cs="Tahoma"/>
          <w:lang w:val="mk-MK"/>
        </w:rPr>
        <w:t>од новите месечни извори на средства во ликвидни инструменти</w:t>
      </w:r>
      <w:r w:rsidRPr="00B63768">
        <w:rPr>
          <w:rStyle w:val="FootnoteReference"/>
          <w:rFonts w:cs="Tahoma"/>
          <w:lang w:val="mk-MK"/>
        </w:rPr>
        <w:footnoteReference w:id="30"/>
      </w:r>
      <w:r w:rsidRPr="00B63768">
        <w:rPr>
          <w:rFonts w:cs="Tahoma"/>
          <w:lang w:val="mk-MK"/>
        </w:rPr>
        <w:t>. Оттука произлегува  и повисоката годишна стапка на раст на ликвидната актива (10,6% на 31.3.2013 година)</w:t>
      </w:r>
      <w:r w:rsidR="0030485C">
        <w:rPr>
          <w:rFonts w:cs="Tahoma"/>
          <w:lang w:val="mk-MK"/>
        </w:rPr>
        <w:t>,</w:t>
      </w:r>
      <w:r w:rsidRPr="00B63768">
        <w:rPr>
          <w:rFonts w:cs="Tahoma"/>
          <w:lang w:val="mk-MK"/>
        </w:rPr>
        <w:t xml:space="preserve"> </w:t>
      </w:r>
      <w:r w:rsidR="0030485C">
        <w:rPr>
          <w:rFonts w:cs="Tahoma"/>
          <w:lang w:val="mk-MK"/>
        </w:rPr>
        <w:t>во однос на</w:t>
      </w:r>
      <w:r w:rsidR="0030485C" w:rsidRPr="00B63768">
        <w:rPr>
          <w:rFonts w:cs="Tahoma"/>
          <w:lang w:val="mk-MK"/>
        </w:rPr>
        <w:t xml:space="preserve"> </w:t>
      </w:r>
      <w:r w:rsidRPr="00B63768">
        <w:rPr>
          <w:rFonts w:cs="Tahoma"/>
          <w:lang w:val="mk-MK"/>
        </w:rPr>
        <w:t xml:space="preserve">годишната стапка на раст на кредитите (5,2% на 31.3.2013 година). </w:t>
      </w:r>
      <w:r w:rsidR="0030485C">
        <w:rPr>
          <w:rFonts w:cs="Tahoma"/>
          <w:lang w:val="mk-MK"/>
        </w:rPr>
        <w:t xml:space="preserve"> </w:t>
      </w:r>
    </w:p>
    <w:p w:rsidR="00973A14" w:rsidRPr="00B63768" w:rsidRDefault="00040D2C" w:rsidP="00D41027">
      <w:pPr>
        <w:ind w:firstLine="540"/>
        <w:rPr>
          <w:rFonts w:cs="Tahoma"/>
          <w:lang w:val="mk-MK"/>
        </w:rPr>
      </w:pPr>
      <w:r w:rsidRPr="00040D2C">
        <w:rPr>
          <w:rFonts w:cs="Tahoma"/>
          <w:lang w:val="mk-MK"/>
        </w:rPr>
        <w:pict>
          <v:shape id="_x0000_s1058" type="#_x0000_t202" style="position:absolute;left:0;text-align:left;margin-left:-225.1pt;margin-top:-353.4pt;width:213.1pt;height:291.5pt;z-index:251697152">
            <v:textbox>
              <w:txbxContent>
                <w:p w:rsidR="006F63B5" w:rsidRPr="00374BCC" w:rsidRDefault="006F63B5" w:rsidP="00D41027">
                  <w:pPr>
                    <w:pStyle w:val="Caption"/>
                    <w:rPr>
                      <w:szCs w:val="20"/>
                      <w:lang w:val="mk-MK"/>
                    </w:rPr>
                  </w:pPr>
                  <w:r w:rsidRPr="003C7F30">
                    <w:rPr>
                      <w:szCs w:val="20"/>
                    </w:rPr>
                    <w:t xml:space="preserve">Графикон бр. </w:t>
                  </w:r>
                  <w:r w:rsidR="00040D2C" w:rsidRPr="003C7F30">
                    <w:rPr>
                      <w:szCs w:val="20"/>
                    </w:rPr>
                    <w:fldChar w:fldCharType="begin"/>
                  </w:r>
                  <w:r w:rsidRPr="003C7F30">
                    <w:rPr>
                      <w:szCs w:val="20"/>
                    </w:rPr>
                    <w:instrText xml:space="preserve"> SEQ Графикон_бр. \* ARABIC </w:instrText>
                  </w:r>
                  <w:r w:rsidR="00040D2C" w:rsidRPr="003C7F30">
                    <w:rPr>
                      <w:szCs w:val="20"/>
                    </w:rPr>
                    <w:fldChar w:fldCharType="separate"/>
                  </w:r>
                  <w:r w:rsidR="00D82BBF">
                    <w:rPr>
                      <w:noProof/>
                      <w:szCs w:val="20"/>
                    </w:rPr>
                    <w:t>33</w:t>
                  </w:r>
                  <w:r w:rsidR="00040D2C" w:rsidRPr="003C7F30">
                    <w:rPr>
                      <w:szCs w:val="20"/>
                    </w:rPr>
                    <w:fldChar w:fldCharType="end"/>
                  </w:r>
                  <w:r>
                    <w:rPr>
                      <w:szCs w:val="20"/>
                      <w:lang w:val="mk-MK"/>
                    </w:rPr>
                    <w:t xml:space="preserve"> </w:t>
                  </w:r>
                  <w:r w:rsidRPr="00374BCC">
                    <w:rPr>
                      <w:szCs w:val="20"/>
                      <w:lang w:val="mk-MK"/>
                    </w:rPr>
                    <w:t xml:space="preserve">Промена на ликвидните средства / промена на вкупните извори на средства </w:t>
                  </w:r>
                </w:p>
                <w:p w:rsidR="006F63B5" w:rsidRDefault="006F63B5" w:rsidP="00D41027">
                  <w:pPr>
                    <w:pStyle w:val="Caption"/>
                    <w:rPr>
                      <w:szCs w:val="20"/>
                      <w:lang w:val="mk-MK"/>
                    </w:rPr>
                  </w:pPr>
                  <w:r w:rsidRPr="003C7F30">
                    <w:rPr>
                      <w:noProof/>
                      <w:szCs w:val="20"/>
                    </w:rPr>
                    <w:drawing>
                      <wp:inline distT="0" distB="0" distL="0" distR="0">
                        <wp:extent cx="2513965" cy="2786236"/>
                        <wp:effectExtent l="19050" t="0" r="63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2513965" cy="2786236"/>
                                </a:xfrm>
                                <a:prstGeom prst="rect">
                                  <a:avLst/>
                                </a:prstGeom>
                                <a:noFill/>
                                <a:ln w="9525">
                                  <a:noFill/>
                                  <a:miter lim="800000"/>
                                  <a:headEnd/>
                                  <a:tailEnd/>
                                </a:ln>
                              </pic:spPr>
                            </pic:pic>
                          </a:graphicData>
                        </a:graphic>
                      </wp:inline>
                    </w:drawing>
                  </w:r>
                </w:p>
                <w:p w:rsidR="006F63B5" w:rsidRPr="003C7F30" w:rsidRDefault="006F63B5" w:rsidP="00D41027">
                  <w:pPr>
                    <w:rPr>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v:shape>
        </w:pict>
      </w:r>
      <w:r w:rsidRPr="00040D2C">
        <w:rPr>
          <w:rFonts w:cs="Tahoma"/>
          <w:lang w:val="mk-MK"/>
        </w:rPr>
        <w:pict>
          <v:shape id="_x0000_s1059" type="#_x0000_t202" style="position:absolute;left:0;text-align:left;margin-left:-225.1pt;margin-top:-43.9pt;width:213.1pt;height:255.5pt;z-index:251698176">
            <v:textbox>
              <w:txbxContent>
                <w:p w:rsidR="006F63B5" w:rsidRDefault="006F63B5" w:rsidP="00D41027">
                  <w:pPr>
                    <w:pStyle w:val="Caption"/>
                    <w:rPr>
                      <w:szCs w:val="20"/>
                      <w:lang w:val="mk-MK"/>
                    </w:rPr>
                  </w:pPr>
                  <w:r>
                    <w:t xml:space="preserve">Графикон бр. </w:t>
                  </w:r>
                  <w:fldSimple w:instr=" SEQ Графикон_бр. \* ARABIC ">
                    <w:r w:rsidR="00D82BBF">
                      <w:rPr>
                        <w:noProof/>
                      </w:rPr>
                      <w:t>34</w:t>
                    </w:r>
                  </w:fldSimple>
                  <w:r>
                    <w:rPr>
                      <w:lang w:val="mk-MK"/>
                    </w:rPr>
                    <w:t xml:space="preserve"> </w:t>
                  </w:r>
                  <w:r w:rsidRPr="00374BCC">
                    <w:rPr>
                      <w:szCs w:val="20"/>
                      <w:lang w:val="mk-MK"/>
                    </w:rPr>
                    <w:t>П</w:t>
                  </w:r>
                  <w:r>
                    <w:rPr>
                      <w:szCs w:val="20"/>
                      <w:lang w:val="mk-MK"/>
                    </w:rPr>
                    <w:t>оказатели за ликвидноста на банкарскиот систем</w:t>
                  </w:r>
                </w:p>
                <w:p w:rsidR="006F63B5" w:rsidRDefault="006F63B5" w:rsidP="00D41027">
                  <w:pPr>
                    <w:rPr>
                      <w:lang w:val="mk-MK"/>
                    </w:rPr>
                  </w:pPr>
                  <w:r w:rsidRPr="001034E2">
                    <w:rPr>
                      <w:noProof/>
                    </w:rPr>
                    <w:drawing>
                      <wp:inline distT="0" distB="0" distL="0" distR="0">
                        <wp:extent cx="2513965" cy="2514600"/>
                        <wp:effectExtent l="19050" t="0" r="63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2513965" cy="2514600"/>
                                </a:xfrm>
                                <a:prstGeom prst="rect">
                                  <a:avLst/>
                                </a:prstGeom>
                                <a:noFill/>
                                <a:ln w="9525">
                                  <a:noFill/>
                                  <a:miter lim="800000"/>
                                  <a:headEnd/>
                                  <a:tailEnd/>
                                </a:ln>
                              </pic:spPr>
                            </pic:pic>
                          </a:graphicData>
                        </a:graphic>
                      </wp:inline>
                    </w:drawing>
                  </w:r>
                </w:p>
                <w:p w:rsidR="006F63B5" w:rsidRPr="005A6118" w:rsidRDefault="006F63B5" w:rsidP="00D4102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1034E2" w:rsidRDefault="006F63B5" w:rsidP="00D41027">
                  <w:pPr>
                    <w:rPr>
                      <w:lang w:val="mk-MK"/>
                    </w:rPr>
                  </w:pPr>
                </w:p>
              </w:txbxContent>
            </v:textbox>
          </v:shape>
        </w:pict>
      </w:r>
    </w:p>
    <w:p w:rsidR="00973A14" w:rsidRPr="00B63768" w:rsidRDefault="00A004AB" w:rsidP="00D41027">
      <w:pPr>
        <w:ind w:firstLine="540"/>
        <w:rPr>
          <w:rFonts w:cs="Tahoma"/>
          <w:lang w:val="mk-MK"/>
        </w:rPr>
      </w:pPr>
      <w:r>
        <w:rPr>
          <w:rFonts w:cs="Tahoma"/>
          <w:lang w:val="mk-MK"/>
        </w:rPr>
        <w:t>В</w:t>
      </w:r>
      <w:r w:rsidRPr="00B63768">
        <w:rPr>
          <w:rFonts w:cs="Tahoma"/>
          <w:lang w:val="mk-MK"/>
        </w:rPr>
        <w:t>о првиот квартал на 2013 година</w:t>
      </w:r>
      <w:r>
        <w:rPr>
          <w:rFonts w:cs="Tahoma"/>
          <w:lang w:val="mk-MK"/>
        </w:rPr>
        <w:t>, п</w:t>
      </w:r>
      <w:r w:rsidR="00D41027" w:rsidRPr="00B63768">
        <w:rPr>
          <w:rFonts w:cs="Tahoma"/>
          <w:lang w:val="mk-MK"/>
        </w:rPr>
        <w:t>оказателите за ликвидноста на банкарскиот систем</w:t>
      </w:r>
      <w:r w:rsidR="00D41027" w:rsidRPr="00B63768">
        <w:rPr>
          <w:rStyle w:val="FootnoteReference"/>
          <w:lang w:val="mk-MK"/>
        </w:rPr>
        <w:footnoteReference w:id="31"/>
      </w:r>
      <w:r w:rsidR="00D41027" w:rsidRPr="00B63768">
        <w:rPr>
          <w:lang w:val="mk-MK"/>
        </w:rPr>
        <w:t xml:space="preserve"> </w:t>
      </w:r>
      <w:r>
        <w:rPr>
          <w:lang w:val="mk-MK"/>
        </w:rPr>
        <w:t xml:space="preserve">и натаму </w:t>
      </w:r>
      <w:r>
        <w:rPr>
          <w:rFonts w:cs="Tahoma"/>
          <w:lang w:val="mk-MK"/>
        </w:rPr>
        <w:t>се</w:t>
      </w:r>
      <w:r w:rsidR="00D41027" w:rsidRPr="00B63768">
        <w:rPr>
          <w:rFonts w:cs="Tahoma"/>
          <w:lang w:val="mk-MK"/>
        </w:rPr>
        <w:t xml:space="preserve"> на задоволително ниво. Покриеноста на различни категории обврски со ликвидни средства забележа зголемување</w:t>
      </w:r>
      <w:r>
        <w:rPr>
          <w:rFonts w:cs="Tahoma"/>
          <w:lang w:val="mk-MK"/>
        </w:rPr>
        <w:t>,</w:t>
      </w:r>
      <w:r w:rsidR="00D41027" w:rsidRPr="00B63768">
        <w:rPr>
          <w:rFonts w:cs="Tahoma"/>
          <w:lang w:val="mk-MK"/>
        </w:rPr>
        <w:t xml:space="preserve"> </w:t>
      </w:r>
      <w:r>
        <w:rPr>
          <w:rFonts w:cs="Tahoma"/>
          <w:lang w:val="mk-MK"/>
        </w:rPr>
        <w:t xml:space="preserve">во </w:t>
      </w:r>
      <w:r w:rsidRPr="00B63768">
        <w:rPr>
          <w:rFonts w:cs="Tahoma"/>
          <w:lang w:val="mk-MK"/>
        </w:rPr>
        <w:t>според</w:t>
      </w:r>
      <w:r>
        <w:rPr>
          <w:rFonts w:cs="Tahoma"/>
          <w:lang w:val="mk-MK"/>
        </w:rPr>
        <w:t>ба</w:t>
      </w:r>
      <w:r w:rsidRPr="00B63768">
        <w:rPr>
          <w:rFonts w:cs="Tahoma"/>
          <w:lang w:val="mk-MK"/>
        </w:rPr>
        <w:t xml:space="preserve"> </w:t>
      </w:r>
      <w:r w:rsidR="00D41027" w:rsidRPr="00B63768">
        <w:rPr>
          <w:rFonts w:cs="Tahoma"/>
          <w:lang w:val="mk-MK"/>
        </w:rPr>
        <w:t xml:space="preserve">со крајот на 2012 година. Особено е видливо продолжувањето на трендот на зголемување на покриеноста на краткорочните обврски со ликвидна актива, </w:t>
      </w:r>
      <w:r w:rsidR="0030485C">
        <w:rPr>
          <w:rFonts w:cs="Tahoma"/>
          <w:lang w:val="mk-MK"/>
        </w:rPr>
        <w:t>со</w:t>
      </w:r>
      <w:r w:rsidR="0030485C" w:rsidRPr="00B63768">
        <w:rPr>
          <w:rFonts w:cs="Tahoma"/>
          <w:lang w:val="mk-MK"/>
        </w:rPr>
        <w:t xml:space="preserve"> најизразено квартално зголемување</w:t>
      </w:r>
      <w:r w:rsidR="0030485C">
        <w:rPr>
          <w:rFonts w:cs="Tahoma"/>
          <w:lang w:val="mk-MK"/>
        </w:rPr>
        <w:t xml:space="preserve"> </w:t>
      </w:r>
      <w:r w:rsidR="00D41027" w:rsidRPr="00B63768">
        <w:rPr>
          <w:rFonts w:cs="Tahoma"/>
          <w:lang w:val="mk-MK"/>
        </w:rPr>
        <w:t>(за 1,9 процентни поени).</w:t>
      </w:r>
      <w:r w:rsidR="00D41027" w:rsidRPr="00B63768">
        <w:rPr>
          <w:lang w:val="mk-MK"/>
        </w:rPr>
        <w:t xml:space="preserve"> Ова подобрување беше резултат како на растот на ликвидните средства</w:t>
      </w:r>
      <w:r w:rsidR="00992B12">
        <w:rPr>
          <w:lang w:val="mk-MK"/>
        </w:rPr>
        <w:t>,</w:t>
      </w:r>
      <w:r w:rsidR="00D41027" w:rsidRPr="00B63768">
        <w:rPr>
          <w:lang w:val="mk-MK"/>
        </w:rPr>
        <w:t xml:space="preserve"> така и на намалувањето на краткорочните обврски во првиот квартал на </w:t>
      </w:r>
      <w:r w:rsidR="00D41027" w:rsidRPr="00B63768">
        <w:rPr>
          <w:lang w:val="mk-MK"/>
        </w:rPr>
        <w:lastRenderedPageBreak/>
        <w:t xml:space="preserve">2013 година (за 0,9%). </w:t>
      </w:r>
      <w:r w:rsidR="00330EA5">
        <w:rPr>
          <w:rFonts w:cs="Tahoma"/>
          <w:lang w:val="mk-MK"/>
        </w:rPr>
        <w:t>Н</w:t>
      </w:r>
      <w:r w:rsidR="00330EA5" w:rsidRPr="00B63768">
        <w:rPr>
          <w:rFonts w:cs="Tahoma"/>
          <w:lang w:val="mk-MK"/>
        </w:rPr>
        <w:t>а 31.3.2013 година</w:t>
      </w:r>
      <w:r w:rsidR="00330EA5">
        <w:rPr>
          <w:rFonts w:cs="Tahoma"/>
          <w:lang w:val="mk-MK"/>
        </w:rPr>
        <w:t>, у</w:t>
      </w:r>
      <w:r w:rsidR="00D41027" w:rsidRPr="00B63768">
        <w:rPr>
          <w:rFonts w:cs="Tahoma"/>
          <w:lang w:val="mk-MK"/>
        </w:rPr>
        <w:t xml:space="preserve">чеството на ликвидните средства во вкупните средства на банкарскиот систем изнесува 33,1% и бележи годишно зголемување од 1,6 процентни поени, односно за 0,7 процентни поени во споредба со 31.12.2012 година. </w:t>
      </w:r>
    </w:p>
    <w:p w:rsidR="00973A14" w:rsidRPr="00B63768" w:rsidRDefault="00040D2C" w:rsidP="00D41027">
      <w:pPr>
        <w:ind w:firstLine="540"/>
        <w:rPr>
          <w:rFonts w:cs="Tahoma"/>
          <w:lang w:val="mk-MK"/>
        </w:rPr>
      </w:pPr>
      <w:r w:rsidRPr="00040D2C">
        <w:rPr>
          <w:rFonts w:cs="Tahoma"/>
          <w:lang w:val="mk-MK"/>
        </w:rPr>
        <w:pict>
          <v:shape id="_x0000_s1060" type="#_x0000_t202" style="position:absolute;left:0;text-align:left;margin-left:-225.1pt;margin-top:-86.25pt;width:213.1pt;height:202.5pt;z-index:251699200">
            <v:textbox style="mso-next-textbox:#_x0000_s1060">
              <w:txbxContent>
                <w:p w:rsidR="006F63B5" w:rsidRPr="00374BCC" w:rsidRDefault="006F63B5" w:rsidP="00D41027">
                  <w:pPr>
                    <w:pStyle w:val="Caption"/>
                    <w:rPr>
                      <w:szCs w:val="20"/>
                      <w:lang w:val="mk-MK"/>
                    </w:rPr>
                  </w:pPr>
                  <w:r>
                    <w:t xml:space="preserve">Графикон бр. </w:t>
                  </w:r>
                  <w:fldSimple w:instr=" SEQ Графикон_бр. \* ARABIC ">
                    <w:r>
                      <w:rPr>
                        <w:noProof/>
                      </w:rPr>
                      <w:t>35</w:t>
                    </w:r>
                  </w:fldSimple>
                  <w:r w:rsidRPr="001034E2">
                    <w:rPr>
                      <w:szCs w:val="20"/>
                      <w:lang w:val="mk-MK"/>
                    </w:rPr>
                    <w:t xml:space="preserve"> </w:t>
                  </w:r>
                  <w:r>
                    <w:rPr>
                      <w:szCs w:val="20"/>
                      <w:lang w:val="mk-MK"/>
                    </w:rPr>
                    <w:t>Динамика на показателот кредити / депозити</w:t>
                  </w:r>
                  <w:r w:rsidRPr="00374BCC">
                    <w:rPr>
                      <w:szCs w:val="20"/>
                      <w:lang w:val="mk-MK"/>
                    </w:rPr>
                    <w:t xml:space="preserve"> </w:t>
                  </w:r>
                </w:p>
                <w:p w:rsidR="006F63B5" w:rsidRDefault="006F63B5" w:rsidP="00D41027">
                  <w:pPr>
                    <w:pStyle w:val="Caption"/>
                    <w:rPr>
                      <w:lang w:val="mk-MK"/>
                    </w:rPr>
                  </w:pPr>
                  <w:r w:rsidRPr="00AB0046">
                    <w:rPr>
                      <w:noProof/>
                    </w:rPr>
                    <w:drawing>
                      <wp:inline distT="0" distB="0" distL="0" distR="0">
                        <wp:extent cx="2447925" cy="186690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446020" cy="1865447"/>
                                </a:xfrm>
                                <a:prstGeom prst="rect">
                                  <a:avLst/>
                                </a:prstGeom>
                                <a:noFill/>
                                <a:ln w="9525">
                                  <a:noFill/>
                                  <a:miter lim="800000"/>
                                  <a:headEnd/>
                                  <a:tailEnd/>
                                </a:ln>
                              </pic:spPr>
                            </pic:pic>
                          </a:graphicData>
                        </a:graphic>
                      </wp:inline>
                    </w:drawing>
                  </w:r>
                </w:p>
                <w:p w:rsidR="006F63B5" w:rsidRPr="005A6118" w:rsidRDefault="006F63B5" w:rsidP="00D4102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1034E2" w:rsidRDefault="006F63B5" w:rsidP="00D41027">
                  <w:pPr>
                    <w:rPr>
                      <w:lang w:val="mk-MK"/>
                    </w:rPr>
                  </w:pPr>
                </w:p>
                <w:p w:rsidR="006F63B5" w:rsidRPr="00303B89" w:rsidRDefault="006F63B5" w:rsidP="00D41027">
                  <w:pPr>
                    <w:rPr>
                      <w:lang w:val="mk-MK"/>
                    </w:rPr>
                  </w:pPr>
                </w:p>
              </w:txbxContent>
            </v:textbox>
          </v:shape>
        </w:pict>
      </w:r>
    </w:p>
    <w:p w:rsidR="00973A14" w:rsidRPr="00B63768" w:rsidRDefault="00D41027" w:rsidP="00973A14">
      <w:pPr>
        <w:ind w:firstLine="540"/>
        <w:rPr>
          <w:lang w:val="mk-MK"/>
        </w:rPr>
      </w:pPr>
      <w:r w:rsidRPr="00B63768">
        <w:rPr>
          <w:rFonts w:cs="Tahoma"/>
          <w:lang w:val="mk-MK"/>
        </w:rPr>
        <w:t>Показателот за соодносот меѓу кредитите и депозитите</w:t>
      </w:r>
      <w:r w:rsidRPr="00B63768">
        <w:rPr>
          <w:lang w:val="mk-MK"/>
        </w:rPr>
        <w:t xml:space="preserve"> не забележа позначителни промени. </w:t>
      </w:r>
    </w:p>
    <w:p w:rsidR="00973A14" w:rsidRPr="00B63768" w:rsidRDefault="00973A14" w:rsidP="00D41027">
      <w:pPr>
        <w:ind w:firstLine="540"/>
        <w:rPr>
          <w:lang w:val="mk-MK"/>
        </w:rPr>
      </w:pPr>
    </w:p>
    <w:p w:rsidR="00D41027" w:rsidRPr="00B63768" w:rsidRDefault="00040D2C" w:rsidP="00D41027">
      <w:pPr>
        <w:ind w:firstLine="540"/>
        <w:rPr>
          <w:rFonts w:cs="Tahoma"/>
          <w:lang w:val="mk-MK"/>
        </w:rPr>
      </w:pPr>
      <w:r w:rsidRPr="00040D2C">
        <w:rPr>
          <w:rFonts w:cs="Tahoma"/>
          <w:lang w:val="mk-MK"/>
        </w:rPr>
        <w:pict>
          <v:shape id="_x0000_s1061" type="#_x0000_t202" style="position:absolute;left:0;text-align:left;margin-left:-225.1pt;margin-top:115.85pt;width:216.35pt;height:374.25pt;z-index:251700224">
            <v:textbox>
              <w:txbxContent>
                <w:p w:rsidR="006F63B5" w:rsidRPr="00A15DC0" w:rsidRDefault="006F63B5" w:rsidP="00D41027">
                  <w:pPr>
                    <w:pStyle w:val="Caption"/>
                    <w:rPr>
                      <w:szCs w:val="20"/>
                      <w:lang w:val="mk-MK"/>
                    </w:rPr>
                  </w:pPr>
                  <w:r>
                    <w:t xml:space="preserve">Графикон бр. </w:t>
                  </w:r>
                  <w:fldSimple w:instr=" SEQ Графикон_бр. \* ARABIC ">
                    <w:r>
                      <w:rPr>
                        <w:noProof/>
                      </w:rPr>
                      <w:t>36</w:t>
                    </w:r>
                  </w:fldSimple>
                  <w:r>
                    <w:rPr>
                      <w:lang w:val="mk-MK"/>
                    </w:rPr>
                    <w:t xml:space="preserve"> </w:t>
                  </w:r>
                  <w:r w:rsidRPr="00A15DC0">
                    <w:rPr>
                      <w:szCs w:val="20"/>
                      <w:lang w:val="mk-MK"/>
                    </w:rPr>
                    <w:t>Показатели за ликвидност</w:t>
                  </w:r>
                  <w:r>
                    <w:rPr>
                      <w:szCs w:val="20"/>
                      <w:lang w:val="mk-MK"/>
                    </w:rPr>
                    <w:t>а</w:t>
                  </w:r>
                  <w:r w:rsidRPr="00A15DC0">
                    <w:rPr>
                      <w:szCs w:val="20"/>
                      <w:lang w:val="mk-MK"/>
                    </w:rPr>
                    <w:t xml:space="preserve"> на банкарскиот систем според валутата - денари (горе) и девизи (дол</w:t>
                  </w:r>
                  <w:r>
                    <w:rPr>
                      <w:szCs w:val="20"/>
                      <w:lang w:val="mk-MK"/>
                    </w:rPr>
                    <w:t>у</w:t>
                  </w:r>
                  <w:r w:rsidRPr="00A15DC0">
                    <w:rPr>
                      <w:szCs w:val="20"/>
                      <w:lang w:val="mk-MK"/>
                    </w:rPr>
                    <w:t>)</w:t>
                  </w:r>
                </w:p>
                <w:p w:rsidR="006F63B5" w:rsidRDefault="006F63B5" w:rsidP="00D41027">
                  <w:pPr>
                    <w:pStyle w:val="Caption"/>
                    <w:rPr>
                      <w:lang w:val="mk-MK"/>
                    </w:rPr>
                  </w:pPr>
                  <w:r w:rsidRPr="001034E2">
                    <w:rPr>
                      <w:noProof/>
                    </w:rPr>
                    <w:drawing>
                      <wp:inline distT="0" distB="0" distL="0" distR="0">
                        <wp:extent cx="2499229" cy="3775723"/>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2505930" cy="3785847"/>
                                </a:xfrm>
                                <a:prstGeom prst="rect">
                                  <a:avLst/>
                                </a:prstGeom>
                                <a:noFill/>
                                <a:ln w="9525">
                                  <a:noFill/>
                                  <a:miter lim="800000"/>
                                  <a:headEnd/>
                                  <a:tailEnd/>
                                </a:ln>
                              </pic:spPr>
                            </pic:pic>
                          </a:graphicData>
                        </a:graphic>
                      </wp:inline>
                    </w:drawing>
                  </w:r>
                </w:p>
                <w:p w:rsidR="006F63B5" w:rsidRPr="00D45BBC" w:rsidRDefault="006F63B5" w:rsidP="00D41027">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6F63B5" w:rsidRPr="001034E2" w:rsidRDefault="006F63B5" w:rsidP="00D41027">
                  <w:pPr>
                    <w:rPr>
                      <w:lang w:val="mk-MK"/>
                    </w:rPr>
                  </w:pPr>
                </w:p>
              </w:txbxContent>
            </v:textbox>
          </v:shape>
        </w:pict>
      </w:r>
      <w:r w:rsidR="00D41027" w:rsidRPr="00B63768">
        <w:rPr>
          <w:lang w:val="mk-MK"/>
        </w:rPr>
        <w:t xml:space="preserve">Гледано </w:t>
      </w:r>
      <w:r w:rsidR="00D41027" w:rsidRPr="00B63768">
        <w:rPr>
          <w:rFonts w:cs="Tahoma"/>
          <w:lang w:val="mk-MK"/>
        </w:rPr>
        <w:t>по поединечни банки, во првиот квартал на 2013 година</w:t>
      </w:r>
      <w:r w:rsidR="00D22DB7" w:rsidRPr="00B63768">
        <w:rPr>
          <w:rFonts w:cs="Tahoma"/>
          <w:lang w:val="mk-MK"/>
        </w:rPr>
        <w:t>,</w:t>
      </w:r>
      <w:r w:rsidR="00D41027" w:rsidRPr="00B63768">
        <w:rPr>
          <w:rFonts w:cs="Tahoma"/>
          <w:lang w:val="mk-MK"/>
        </w:rPr>
        <w:t xml:space="preserve"> кај десет банки има раст на ликвидните средства во интер</w:t>
      </w:r>
      <w:r w:rsidR="000C7054" w:rsidRPr="00B63768">
        <w:rPr>
          <w:rFonts w:cs="Tahoma"/>
          <w:lang w:val="mk-MK"/>
        </w:rPr>
        <w:t>в</w:t>
      </w:r>
      <w:r w:rsidR="00D41027" w:rsidRPr="00B63768">
        <w:rPr>
          <w:rFonts w:cs="Tahoma"/>
          <w:lang w:val="mk-MK"/>
        </w:rPr>
        <w:t xml:space="preserve">ал од 0,8% до 74,7%, додека кај шест банки </w:t>
      </w:r>
      <w:r w:rsidR="00330EA5">
        <w:rPr>
          <w:rFonts w:cs="Tahoma"/>
          <w:lang w:val="mk-MK"/>
        </w:rPr>
        <w:t xml:space="preserve">е </w:t>
      </w:r>
      <w:r w:rsidR="00D41027" w:rsidRPr="00B63768">
        <w:rPr>
          <w:rFonts w:cs="Tahoma"/>
          <w:lang w:val="mk-MK"/>
        </w:rPr>
        <w:t>забележан квартален пад во интервал од 1,3% до 16,7%. Учество</w:t>
      </w:r>
      <w:r w:rsidR="000C7054" w:rsidRPr="00B63768">
        <w:rPr>
          <w:rFonts w:cs="Tahoma"/>
          <w:lang w:val="mk-MK"/>
        </w:rPr>
        <w:t>т</w:t>
      </w:r>
      <w:r w:rsidR="00FA627C" w:rsidRPr="00B63768">
        <w:rPr>
          <w:rFonts w:cs="Tahoma"/>
          <w:lang w:val="mk-MK"/>
        </w:rPr>
        <w:t>о</w:t>
      </w:r>
      <w:r w:rsidR="00D41027" w:rsidRPr="00B63768">
        <w:rPr>
          <w:rFonts w:cs="Tahoma"/>
          <w:lang w:val="mk-MK"/>
        </w:rPr>
        <w:t xml:space="preserve"> на овие шест банки во вкупната актива на банкарскиот систем изнесуваше 38,9% </w:t>
      </w:r>
      <w:r w:rsidR="00330EA5" w:rsidRPr="00B63768">
        <w:rPr>
          <w:rFonts w:cs="Tahoma"/>
          <w:lang w:val="mk-MK"/>
        </w:rPr>
        <w:t>на 31.3.2013 година</w:t>
      </w:r>
      <w:r w:rsidR="00330EA5">
        <w:rPr>
          <w:rFonts w:cs="Tahoma"/>
          <w:lang w:val="mk-MK"/>
        </w:rPr>
        <w:t>.</w:t>
      </w:r>
      <w:r w:rsidR="00330EA5" w:rsidRPr="00B63768">
        <w:rPr>
          <w:rFonts w:cs="Tahoma"/>
          <w:lang w:val="mk-MK"/>
        </w:rPr>
        <w:t xml:space="preserve"> </w:t>
      </w:r>
      <w:r w:rsidR="00D41027" w:rsidRPr="00B63768">
        <w:rPr>
          <w:rFonts w:cs="Tahoma"/>
          <w:lang w:val="mk-MK"/>
        </w:rPr>
        <w:t>Оттука, покриеноста на краткорочните обврски со ликвидна актива забележа квартално зголемување кај осум банки (од 0,5 до 7,6 процентни поени)</w:t>
      </w:r>
      <w:r w:rsidR="00FA627C" w:rsidRPr="00B63768">
        <w:rPr>
          <w:rFonts w:cs="Tahoma"/>
          <w:lang w:val="mk-MK"/>
        </w:rPr>
        <w:t>,</w:t>
      </w:r>
      <w:r w:rsidR="00D41027" w:rsidRPr="00B63768">
        <w:rPr>
          <w:rFonts w:cs="Tahoma"/>
          <w:lang w:val="mk-MK"/>
        </w:rPr>
        <w:t xml:space="preserve"> а учеството на ликвидната </w:t>
      </w:r>
      <w:r w:rsidR="000C7054" w:rsidRPr="00B63768">
        <w:rPr>
          <w:rFonts w:cs="Tahoma"/>
          <w:lang w:val="mk-MK"/>
        </w:rPr>
        <w:t xml:space="preserve">актива </w:t>
      </w:r>
      <w:r w:rsidR="00D41027" w:rsidRPr="00B63768">
        <w:rPr>
          <w:rFonts w:cs="Tahoma"/>
          <w:lang w:val="mk-MK"/>
        </w:rPr>
        <w:t>во вкупните средства</w:t>
      </w:r>
      <w:r w:rsidR="000C7054" w:rsidRPr="00B63768">
        <w:rPr>
          <w:rFonts w:cs="Tahoma"/>
          <w:lang w:val="mk-MK"/>
        </w:rPr>
        <w:t xml:space="preserve"> се зголеми</w:t>
      </w:r>
      <w:r w:rsidR="00D41027" w:rsidRPr="00B63768">
        <w:rPr>
          <w:rFonts w:cs="Tahoma"/>
          <w:lang w:val="mk-MK"/>
        </w:rPr>
        <w:t xml:space="preserve"> кај девет банки (од 0,4 до 5,7 процентни поени).</w:t>
      </w:r>
    </w:p>
    <w:p w:rsidR="00116403" w:rsidRPr="00B63768" w:rsidRDefault="00D41027" w:rsidP="00D41027">
      <w:pPr>
        <w:ind w:firstLine="720"/>
        <w:rPr>
          <w:lang w:val="mk-MK"/>
        </w:rPr>
      </w:pPr>
      <w:r w:rsidRPr="00B63768">
        <w:rPr>
          <w:rFonts w:cs="Tahoma"/>
          <w:lang w:val="mk-MK"/>
        </w:rPr>
        <w:tab/>
      </w:r>
    </w:p>
    <w:p w:rsidR="00D41027" w:rsidRPr="00B63768" w:rsidRDefault="00D41027" w:rsidP="00D41027">
      <w:pPr>
        <w:ind w:firstLine="720"/>
        <w:rPr>
          <w:rFonts w:cs="Tahoma"/>
          <w:lang w:val="mk-MK"/>
        </w:rPr>
      </w:pPr>
      <w:r w:rsidRPr="00B63768">
        <w:rPr>
          <w:lang w:val="mk-MK"/>
        </w:rPr>
        <w:t xml:space="preserve">Од аспект на валутната структура, во првиот квартал на 2013 година се забележува извесно зголемување на показателите за ликвидноста во денари, наспроти одреденото намалување на показателите за ликвидноста во девизи. Овие движења се последица на динамиката на ликвидната актива според валутните карактеристики. Показателот кредити/депозити забележа намалување, коешто беше за нијанса поизразено кај денарите. Причинител на намалувањето на овој показател беше подинамичниот квартален раст на депозитите, </w:t>
      </w:r>
      <w:r w:rsidR="00562E25">
        <w:rPr>
          <w:lang w:val="mk-MK"/>
        </w:rPr>
        <w:t xml:space="preserve">во </w:t>
      </w:r>
      <w:r w:rsidR="00562E25" w:rsidRPr="00B63768">
        <w:rPr>
          <w:lang w:val="mk-MK"/>
        </w:rPr>
        <w:t>според</w:t>
      </w:r>
      <w:r w:rsidR="00562E25">
        <w:rPr>
          <w:lang w:val="mk-MK"/>
        </w:rPr>
        <w:t>ба</w:t>
      </w:r>
      <w:r w:rsidR="00562E25" w:rsidRPr="00B63768">
        <w:rPr>
          <w:lang w:val="mk-MK"/>
        </w:rPr>
        <w:t xml:space="preserve"> </w:t>
      </w:r>
      <w:r w:rsidRPr="00B63768">
        <w:rPr>
          <w:lang w:val="mk-MK"/>
        </w:rPr>
        <w:t>со растот на кредитите, што беше забележано и кај денарските и кај девизните компоненти на овој показател.</w:t>
      </w:r>
    </w:p>
    <w:p w:rsidR="00D41027" w:rsidRPr="00B63768" w:rsidRDefault="00D41027" w:rsidP="00D41027">
      <w:pPr>
        <w:rPr>
          <w:rFonts w:cs="Tahoma"/>
          <w:lang w:val="mk-MK"/>
        </w:rPr>
      </w:pPr>
    </w:p>
    <w:p w:rsidR="000C7054" w:rsidRPr="00B63768" w:rsidRDefault="00D41027" w:rsidP="00D41027">
      <w:pPr>
        <w:ind w:firstLine="567"/>
        <w:rPr>
          <w:lang w:val="mk-MK"/>
        </w:rPr>
      </w:pPr>
      <w:r w:rsidRPr="00B63768">
        <w:rPr>
          <w:rFonts w:cs="Tahoma"/>
          <w:b/>
          <w:lang w:val="mk-MK"/>
        </w:rPr>
        <w:t xml:space="preserve">Во  првиот квартал на 2013 година, користените извори на финансирање коишто потекнуваат од странските матични лица на банките забележаа пад </w:t>
      </w:r>
      <w:r w:rsidRPr="00B63768">
        <w:rPr>
          <w:rFonts w:cs="Tahoma"/>
          <w:b/>
          <w:lang w:val="mk-MK"/>
        </w:rPr>
        <w:lastRenderedPageBreak/>
        <w:t>од 371 милион денари, односно за 2,2%.</w:t>
      </w:r>
      <w:r w:rsidRPr="00B63768">
        <w:rPr>
          <w:rFonts w:cs="Tahoma"/>
          <w:lang w:val="mk-MK"/>
        </w:rPr>
        <w:t xml:space="preserve"> Ова намалување покажува дека процесот на раздолжување на банките кон </w:t>
      </w:r>
      <w:r w:rsidR="002D51D9">
        <w:rPr>
          <w:rFonts w:cs="Tahoma"/>
          <w:lang w:val="mk-MK"/>
        </w:rPr>
        <w:t>сво</w:t>
      </w:r>
      <w:r w:rsidR="002D51D9" w:rsidRPr="00B63768">
        <w:rPr>
          <w:rFonts w:cs="Tahoma"/>
          <w:lang w:val="mk-MK"/>
        </w:rPr>
        <w:t xml:space="preserve">ите </w:t>
      </w:r>
      <w:r w:rsidRPr="00B63768">
        <w:rPr>
          <w:rFonts w:cs="Tahoma"/>
          <w:lang w:val="mk-MK"/>
        </w:rPr>
        <w:t>матични лица (т.н. „deleveraging“)</w:t>
      </w:r>
      <w:r w:rsidR="007A3378">
        <w:rPr>
          <w:rFonts w:cs="Tahoma"/>
          <w:lang w:val="mk-MK"/>
        </w:rPr>
        <w:t>,</w:t>
      </w:r>
      <w:r w:rsidRPr="00B63768">
        <w:rPr>
          <w:rFonts w:cs="Tahoma"/>
          <w:lang w:val="mk-MK"/>
        </w:rPr>
        <w:t xml:space="preserve"> којшто е својствен за банкарските системи на други</w:t>
      </w:r>
      <w:r w:rsidR="008473E7" w:rsidRPr="00B63768">
        <w:rPr>
          <w:rFonts w:cs="Tahoma"/>
          <w:lang w:val="mk-MK"/>
        </w:rPr>
        <w:t>те</w:t>
      </w:r>
      <w:r w:rsidRPr="00B63768">
        <w:rPr>
          <w:rFonts w:cs="Tahoma"/>
          <w:lang w:val="mk-MK"/>
        </w:rPr>
        <w:t xml:space="preserve"> земји од регионот, за банките во Република Македонија е присутен во релативно помал</w:t>
      </w:r>
      <w:r w:rsidR="007A3378">
        <w:rPr>
          <w:rFonts w:cs="Tahoma"/>
          <w:lang w:val="mk-MK"/>
        </w:rPr>
        <w:t xml:space="preserve"> обем</w:t>
      </w:r>
      <w:r w:rsidR="00127F03" w:rsidRPr="00B63768">
        <w:rPr>
          <w:rFonts w:cs="Tahoma"/>
          <w:lang w:val="mk-MK"/>
        </w:rPr>
        <w:t xml:space="preserve">, </w:t>
      </w:r>
      <w:r w:rsidR="0006163C" w:rsidRPr="00B63768">
        <w:rPr>
          <w:rFonts w:cs="Tahoma"/>
          <w:lang w:val="mk-MK"/>
        </w:rPr>
        <w:t>главно</w:t>
      </w:r>
      <w:r w:rsidR="00127F03" w:rsidRPr="00B63768">
        <w:rPr>
          <w:rFonts w:cs="Tahoma"/>
          <w:lang w:val="mk-MK"/>
        </w:rPr>
        <w:t xml:space="preserve"> преку поконзервативните </w:t>
      </w:r>
      <w:r w:rsidR="0006163C" w:rsidRPr="00B63768">
        <w:rPr>
          <w:rFonts w:cs="Tahoma"/>
          <w:lang w:val="mk-MK"/>
        </w:rPr>
        <w:t xml:space="preserve">деловни </w:t>
      </w:r>
      <w:r w:rsidR="00127F03" w:rsidRPr="00B63768">
        <w:rPr>
          <w:rFonts w:cs="Tahoma"/>
          <w:lang w:val="mk-MK"/>
        </w:rPr>
        <w:t>стратегии на матичните лица</w:t>
      </w:r>
      <w:r w:rsidRPr="00B63768">
        <w:rPr>
          <w:rFonts w:cs="Tahoma"/>
          <w:lang w:val="mk-MK"/>
        </w:rPr>
        <w:t>. Тоа се потврдува и со фактот што</w:t>
      </w:r>
      <w:r w:rsidR="0030485C">
        <w:rPr>
          <w:rFonts w:cs="Tahoma"/>
          <w:lang w:val="mk-MK"/>
        </w:rPr>
        <w:t>,</w:t>
      </w:r>
      <w:r w:rsidRPr="00B63768">
        <w:rPr>
          <w:rFonts w:cs="Tahoma"/>
          <w:lang w:val="mk-MK"/>
        </w:rPr>
        <w:t xml:space="preserve"> на годишна основа</w:t>
      </w:r>
      <w:r w:rsidR="0030485C">
        <w:rPr>
          <w:rFonts w:cs="Tahoma"/>
          <w:lang w:val="mk-MK"/>
        </w:rPr>
        <w:t>,</w:t>
      </w:r>
      <w:r w:rsidRPr="00B63768">
        <w:rPr>
          <w:rFonts w:cs="Tahoma"/>
          <w:lang w:val="mk-MK"/>
        </w:rPr>
        <w:t xml:space="preserve"> користените извори на финансирање од матичните лица на домашните банки растат за 18,7%. </w:t>
      </w:r>
    </w:p>
    <w:p w:rsidR="000C7054" w:rsidRPr="00B63768" w:rsidRDefault="00040D2C" w:rsidP="00D41027">
      <w:pPr>
        <w:ind w:firstLine="567"/>
        <w:rPr>
          <w:lang w:val="mk-MK"/>
        </w:rPr>
      </w:pPr>
      <w:r w:rsidRPr="00040D2C">
        <w:rPr>
          <w:rFonts w:cs="Tahoma"/>
          <w:lang w:val="mk-MK"/>
        </w:rPr>
        <w:pict>
          <v:shape id="_x0000_s1054" type="#_x0000_t202" style="position:absolute;left:0;text-align:left;margin-left:-226.2pt;margin-top:-163.65pt;width:213.15pt;height:226.5pt;z-index:251693056" filled="f">
            <v:textbox style="mso-next-textbox:#_x0000_s1054">
              <w:txbxContent>
                <w:p w:rsidR="006F63B5" w:rsidRPr="00A15DC0" w:rsidRDefault="006F63B5" w:rsidP="00116403">
                  <w:pPr>
                    <w:pStyle w:val="Caption"/>
                    <w:rPr>
                      <w:szCs w:val="20"/>
                      <w:lang w:val="mk-MK"/>
                    </w:rPr>
                  </w:pPr>
                  <w:r>
                    <w:t xml:space="preserve">Графикон бр. </w:t>
                  </w:r>
                  <w:fldSimple w:instr=" SEQ Графикон_бр. \* ARABIC ">
                    <w:r>
                      <w:rPr>
                        <w:noProof/>
                      </w:rPr>
                      <w:t>37</w:t>
                    </w:r>
                  </w:fldSimple>
                  <w:r>
                    <w:rPr>
                      <w:lang w:val="mk-MK"/>
                    </w:rPr>
                    <w:t xml:space="preserve"> </w:t>
                  </w:r>
                  <w:r>
                    <w:rPr>
                      <w:szCs w:val="20"/>
                      <w:lang w:val="mk-MK"/>
                    </w:rPr>
                    <w:t>П</w:t>
                  </w:r>
                  <w:r w:rsidRPr="0000477C">
                    <w:rPr>
                      <w:szCs w:val="20"/>
                      <w:lang w:val="mk-MK"/>
                    </w:rPr>
                    <w:t>ромена на користените извори на финансирање од матичните</w:t>
                  </w:r>
                  <w:r w:rsidRPr="005A080E">
                    <w:rPr>
                      <w:szCs w:val="20"/>
                      <w:lang w:val="mk-MK"/>
                    </w:rPr>
                    <w:t xml:space="preserve"> лица</w:t>
                  </w:r>
                </w:p>
                <w:p w:rsidR="006F63B5" w:rsidRDefault="006F63B5" w:rsidP="00D41027">
                  <w:pPr>
                    <w:rPr>
                      <w:sz w:val="18"/>
                      <w:szCs w:val="18"/>
                      <w:lang w:val="mk-MK"/>
                    </w:rPr>
                  </w:pPr>
                  <w:r w:rsidRPr="00551FE7">
                    <w:rPr>
                      <w:noProof/>
                      <w:szCs w:val="18"/>
                    </w:rPr>
                    <w:drawing>
                      <wp:inline distT="0" distB="0" distL="0" distR="0">
                        <wp:extent cx="2517682" cy="199072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2517839" cy="1990849"/>
                                </a:xfrm>
                                <a:prstGeom prst="rect">
                                  <a:avLst/>
                                </a:prstGeom>
                                <a:noFill/>
                                <a:ln w="9525">
                                  <a:noFill/>
                                  <a:miter lim="800000"/>
                                  <a:headEnd/>
                                  <a:tailEnd/>
                                </a:ln>
                              </pic:spPr>
                            </pic:pic>
                          </a:graphicData>
                        </a:graphic>
                      </wp:inline>
                    </w:drawing>
                  </w:r>
                </w:p>
                <w:p w:rsidR="006F63B5" w:rsidRPr="00D45BBC" w:rsidRDefault="006F63B5" w:rsidP="00D41027">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6F63B5" w:rsidRPr="009D517E" w:rsidRDefault="006F63B5" w:rsidP="00D41027">
                  <w:pPr>
                    <w:rPr>
                      <w:rFonts w:cs="Tahoma"/>
                      <w:lang w:val="mk-MK"/>
                    </w:rPr>
                  </w:pPr>
                </w:p>
              </w:txbxContent>
            </v:textbox>
            <w10:wrap type="square"/>
          </v:shape>
        </w:pict>
      </w:r>
    </w:p>
    <w:p w:rsidR="00D41027" w:rsidRPr="00B63768" w:rsidRDefault="0030485C" w:rsidP="00D41027">
      <w:pPr>
        <w:ind w:firstLine="567"/>
        <w:rPr>
          <w:lang w:val="mk-MK"/>
        </w:rPr>
      </w:pPr>
      <w:r>
        <w:rPr>
          <w:rFonts w:cs="Tahoma"/>
          <w:lang w:val="mk-MK"/>
        </w:rPr>
        <w:t>Д</w:t>
      </w:r>
      <w:r w:rsidRPr="00B63768">
        <w:rPr>
          <w:rFonts w:cs="Tahoma"/>
          <w:lang w:val="mk-MK"/>
        </w:rPr>
        <w:t xml:space="preserve">епозитите на нефинансиските субјекти имаа </w:t>
      </w:r>
      <w:r>
        <w:rPr>
          <w:lang w:val="mk-MK"/>
        </w:rPr>
        <w:t>н</w:t>
      </w:r>
      <w:r w:rsidRPr="00B63768">
        <w:rPr>
          <w:lang w:val="mk-MK"/>
        </w:rPr>
        <w:t xml:space="preserve">ајголем </w:t>
      </w:r>
      <w:r w:rsidR="00D41027" w:rsidRPr="00B63768">
        <w:rPr>
          <w:lang w:val="mk-MK"/>
        </w:rPr>
        <w:t xml:space="preserve">придонес во кварталниот </w:t>
      </w:r>
      <w:r w:rsidR="00D41027" w:rsidRPr="00B63768">
        <w:rPr>
          <w:rFonts w:cs="Tahoma"/>
          <w:lang w:val="mk-MK"/>
        </w:rPr>
        <w:t xml:space="preserve">раст на </w:t>
      </w:r>
      <w:r w:rsidR="000C7054" w:rsidRPr="00B63768">
        <w:rPr>
          <w:rFonts w:cs="Tahoma"/>
          <w:lang w:val="mk-MK"/>
        </w:rPr>
        <w:t xml:space="preserve">вкупните </w:t>
      </w:r>
      <w:r w:rsidR="00D41027" w:rsidRPr="00B63768">
        <w:rPr>
          <w:rFonts w:cs="Tahoma"/>
          <w:lang w:val="mk-MK"/>
        </w:rPr>
        <w:t xml:space="preserve">извори на финансирање на банките (од 45%), додека обврските на банките врз основа на кредити имаа многу мал квартален раст (од 0,2%). Од аспект на рочноста, продолжи зголемувањето на долгорочните извори на финансирање со истовремено намалување на краткорочните извори на финансирање, што се должи како на </w:t>
      </w:r>
      <w:r>
        <w:rPr>
          <w:rFonts w:cs="Tahoma"/>
          <w:lang w:val="mk-MK"/>
        </w:rPr>
        <w:t>поголемата наклонетост</w:t>
      </w:r>
      <w:r w:rsidRPr="00B63768">
        <w:rPr>
          <w:rFonts w:cs="Tahoma"/>
          <w:lang w:val="mk-MK"/>
        </w:rPr>
        <w:t xml:space="preserve"> </w:t>
      </w:r>
      <w:r w:rsidR="00D41027" w:rsidRPr="00B63768">
        <w:rPr>
          <w:rFonts w:cs="Tahoma"/>
          <w:lang w:val="mk-MK"/>
        </w:rPr>
        <w:t>на штедачите кон долгор</w:t>
      </w:r>
      <w:r>
        <w:rPr>
          <w:rFonts w:cs="Tahoma"/>
          <w:lang w:val="mk-MK"/>
        </w:rPr>
        <w:t>о</w:t>
      </w:r>
      <w:r w:rsidR="00D41027" w:rsidRPr="00B63768">
        <w:rPr>
          <w:rFonts w:cs="Tahoma"/>
          <w:lang w:val="mk-MK"/>
        </w:rPr>
        <w:t xml:space="preserve">чното штедење, </w:t>
      </w:r>
      <w:r>
        <w:rPr>
          <w:rFonts w:cs="Tahoma"/>
          <w:lang w:val="mk-MK"/>
        </w:rPr>
        <w:t>така</w:t>
      </w:r>
      <w:r w:rsidRPr="00B63768">
        <w:rPr>
          <w:rFonts w:cs="Tahoma"/>
          <w:lang w:val="mk-MK"/>
        </w:rPr>
        <w:t xml:space="preserve"> </w:t>
      </w:r>
      <w:r w:rsidR="00D41027" w:rsidRPr="00B63768">
        <w:rPr>
          <w:rFonts w:cs="Tahoma"/>
          <w:lang w:val="mk-MK"/>
        </w:rPr>
        <w:t xml:space="preserve">и на зголемувањето на рочноста на обврските на банките врз основа на користени кредити и </w:t>
      </w:r>
      <w:r w:rsidR="00B92736">
        <w:rPr>
          <w:rFonts w:cs="Tahoma"/>
          <w:lang w:val="mk-MK"/>
        </w:rPr>
        <w:t>заеми</w:t>
      </w:r>
      <w:r w:rsidR="00D41027" w:rsidRPr="00B63768">
        <w:rPr>
          <w:rFonts w:cs="Tahoma"/>
          <w:lang w:val="mk-MK"/>
        </w:rPr>
        <w:t>.</w:t>
      </w:r>
    </w:p>
    <w:p w:rsidR="00D41027" w:rsidRPr="00B63768" w:rsidRDefault="00D41027" w:rsidP="00D41027">
      <w:pPr>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041242" w:rsidRPr="00B63768" w:rsidRDefault="00041242"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lastRenderedPageBreak/>
        <w:pict>
          <v:shape id="_x0000_s1143" type="#_x0000_t202" style="position:absolute;left:0;text-align:left;margin-left:-227.75pt;margin-top:-5.85pt;width:208.5pt;height:500pt;z-index:251767808">
            <v:textbox style="mso-next-textbox:#_x0000_s1143">
              <w:txbxContent>
                <w:p w:rsidR="006F63B5" w:rsidRPr="00A45720" w:rsidRDefault="006F63B5" w:rsidP="00D41027">
                  <w:pPr>
                    <w:pStyle w:val="Caption"/>
                    <w:rPr>
                      <w:szCs w:val="20"/>
                      <w:lang w:val="mk-MK"/>
                    </w:rPr>
                  </w:pPr>
                  <w:r>
                    <w:t xml:space="preserve">Графикон бр. </w:t>
                  </w:r>
                  <w:fldSimple w:instr=" SEQ Графикон_бр. \* ARABIC ">
                    <w:r w:rsidR="0097039F">
                      <w:rPr>
                        <w:noProof/>
                      </w:rPr>
                      <w:t>38</w:t>
                    </w:r>
                  </w:fldSimple>
                  <w:r>
                    <w:rPr>
                      <w:lang w:val="mk-MK"/>
                    </w:rPr>
                    <w:t xml:space="preserve"> </w:t>
                  </w:r>
                  <w:r w:rsidRPr="00A45720">
                    <w:rPr>
                      <w:szCs w:val="20"/>
                      <w:lang w:val="mk-MK"/>
                    </w:rPr>
                    <w:t>Структура на парични</w:t>
                  </w:r>
                  <w:r>
                    <w:rPr>
                      <w:szCs w:val="20"/>
                      <w:lang w:val="mk-MK"/>
                    </w:rPr>
                    <w:t>те</w:t>
                  </w:r>
                  <w:r w:rsidRPr="00A45720">
                    <w:rPr>
                      <w:szCs w:val="20"/>
                      <w:lang w:val="mk-MK"/>
                    </w:rPr>
                    <w:t xml:space="preserve"> приливи и одливи на банкарскиот систем </w:t>
                  </w:r>
                </w:p>
                <w:p w:rsidR="006F63B5" w:rsidRDefault="006F63B5" w:rsidP="00D41027">
                  <w:pPr>
                    <w:pStyle w:val="Caption"/>
                    <w:rPr>
                      <w:lang w:val="mk-MK"/>
                    </w:rPr>
                  </w:pPr>
                  <w:r w:rsidRPr="00E035B8">
                    <w:rPr>
                      <w:noProof/>
                    </w:rPr>
                    <w:drawing>
                      <wp:inline distT="0" distB="0" distL="0" distR="0">
                        <wp:extent cx="2455545" cy="2723255"/>
                        <wp:effectExtent l="19050" t="0" r="1905"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2455545" cy="2723255"/>
                                </a:xfrm>
                                <a:prstGeom prst="rect">
                                  <a:avLst/>
                                </a:prstGeom>
                                <a:noFill/>
                                <a:ln w="9525">
                                  <a:noFill/>
                                  <a:miter lim="800000"/>
                                  <a:headEnd/>
                                  <a:tailEnd/>
                                </a:ln>
                              </pic:spPr>
                            </pic:pic>
                          </a:graphicData>
                        </a:graphic>
                      </wp:inline>
                    </w:drawing>
                  </w:r>
                </w:p>
                <w:p w:rsidR="006F63B5" w:rsidRPr="00663AD6" w:rsidRDefault="006F63B5" w:rsidP="00D41027">
                  <w:pPr>
                    <w:rPr>
                      <w:sz w:val="18"/>
                      <w:szCs w:val="18"/>
                      <w:lang w:val="mk-MK"/>
                    </w:rPr>
                  </w:pPr>
                  <w:r w:rsidRPr="00663AD6">
                    <w:rPr>
                      <w:sz w:val="18"/>
                      <w:szCs w:val="18"/>
                      <w:lang w:val="mk-MK"/>
                    </w:rPr>
                    <w:t xml:space="preserve">Извор: Народната </w:t>
                  </w:r>
                  <w:r>
                    <w:rPr>
                      <w:sz w:val="18"/>
                      <w:szCs w:val="18"/>
                      <w:lang w:val="mk-MK"/>
                    </w:rPr>
                    <w:t>б</w:t>
                  </w:r>
                  <w:r w:rsidRPr="00663AD6">
                    <w:rPr>
                      <w:sz w:val="18"/>
                      <w:szCs w:val="18"/>
                      <w:lang w:val="mk-MK"/>
                    </w:rPr>
                    <w:t>анка, врз основа на податоците доставени од страна на банките.</w:t>
                  </w:r>
                </w:p>
                <w:p w:rsidR="006F63B5" w:rsidRPr="00663AD6" w:rsidRDefault="006F63B5" w:rsidP="00D41027">
                  <w:pPr>
                    <w:rPr>
                      <w:sz w:val="18"/>
                      <w:szCs w:val="18"/>
                      <w:lang w:val="mk-MK"/>
                    </w:rPr>
                  </w:pPr>
                  <w:r w:rsidRPr="00663AD6">
                    <w:rPr>
                      <w:sz w:val="18"/>
                      <w:szCs w:val="18"/>
                      <w:lang w:val="mk-MK"/>
                    </w:rPr>
                    <w:t>*</w:t>
                  </w:r>
                  <w:r>
                    <w:rPr>
                      <w:sz w:val="18"/>
                      <w:szCs w:val="18"/>
                      <w:lang w:val="mk-MK"/>
                    </w:rPr>
                    <w:t xml:space="preserve"> </w:t>
                  </w:r>
                  <w:r w:rsidRPr="00663AD6">
                    <w:rPr>
                      <w:sz w:val="18"/>
                      <w:szCs w:val="18"/>
                      <w:lang w:val="mk-MK"/>
                    </w:rPr>
                    <w:t xml:space="preserve">Со категоријата </w:t>
                  </w:r>
                  <w:r>
                    <w:rPr>
                      <w:sz w:val="18"/>
                      <w:szCs w:val="18"/>
                      <w:lang w:val="mk-MK"/>
                    </w:rPr>
                    <w:t>„</w:t>
                  </w:r>
                  <w:r w:rsidRPr="00663AD6">
                    <w:rPr>
                      <w:sz w:val="18"/>
                      <w:szCs w:val="18"/>
                      <w:lang w:val="mk-MK"/>
                    </w:rPr>
                    <w:t>други средства</w:t>
                  </w:r>
                  <w:r>
                    <w:rPr>
                      <w:sz w:val="18"/>
                      <w:szCs w:val="18"/>
                      <w:lang w:val="mk-MK"/>
                    </w:rPr>
                    <w:t>“</w:t>
                  </w:r>
                  <w:r w:rsidRPr="00663AD6">
                    <w:rPr>
                      <w:sz w:val="18"/>
                      <w:szCs w:val="18"/>
                      <w:lang w:val="mk-MK"/>
                    </w:rPr>
                    <w:t xml:space="preserve"> се опфатени средствата кои</w:t>
                  </w:r>
                  <w:r>
                    <w:rPr>
                      <w:sz w:val="18"/>
                      <w:szCs w:val="18"/>
                      <w:lang w:val="mk-MK"/>
                    </w:rPr>
                    <w:t>што</w:t>
                  </w:r>
                  <w:r w:rsidRPr="00663AD6">
                    <w:rPr>
                      <w:sz w:val="18"/>
                      <w:szCs w:val="18"/>
                      <w:lang w:val="mk-MK"/>
                    </w:rPr>
                    <w:t xml:space="preserve"> не се кредити на нефинансиски</w:t>
                  </w:r>
                  <w:r>
                    <w:rPr>
                      <w:sz w:val="18"/>
                      <w:szCs w:val="18"/>
                      <w:lang w:val="mk-MK"/>
                    </w:rPr>
                    <w:t>те</w:t>
                  </w:r>
                  <w:r w:rsidRPr="00663AD6">
                    <w:rPr>
                      <w:sz w:val="18"/>
                      <w:szCs w:val="18"/>
                      <w:lang w:val="mk-MK"/>
                    </w:rPr>
                    <w:t xml:space="preserve"> субјекти и кои</w:t>
                  </w:r>
                  <w:r>
                    <w:rPr>
                      <w:sz w:val="18"/>
                      <w:szCs w:val="18"/>
                      <w:lang w:val="mk-MK"/>
                    </w:rPr>
                    <w:t>што</w:t>
                  </w:r>
                  <w:r w:rsidRPr="00663AD6">
                    <w:rPr>
                      <w:sz w:val="18"/>
                      <w:szCs w:val="18"/>
                      <w:lang w:val="mk-MK"/>
                    </w:rPr>
                    <w:t xml:space="preserve"> не се вклучени во категоријата </w:t>
                  </w:r>
                  <w:r>
                    <w:rPr>
                      <w:sz w:val="18"/>
                      <w:szCs w:val="18"/>
                      <w:lang w:val="mk-MK"/>
                    </w:rPr>
                    <w:t>„</w:t>
                  </w:r>
                  <w:r w:rsidRPr="00663AD6">
                    <w:rPr>
                      <w:sz w:val="18"/>
                      <w:szCs w:val="18"/>
                      <w:lang w:val="mk-MK"/>
                    </w:rPr>
                    <w:t>ликвидни средства</w:t>
                  </w:r>
                  <w:r>
                    <w:rPr>
                      <w:sz w:val="18"/>
                      <w:szCs w:val="18"/>
                      <w:lang w:val="mk-MK"/>
                    </w:rPr>
                    <w:t>“</w:t>
                  </w:r>
                  <w:r w:rsidRPr="00663AD6">
                    <w:rPr>
                      <w:sz w:val="18"/>
                      <w:szCs w:val="18"/>
                      <w:lang w:val="mk-MK"/>
                    </w:rPr>
                    <w:t xml:space="preserve"> (долгорочните пласмани во странски и домашни банки, задолжителната резерва во девизи, преземените средства за ненаплатени побарувања, основните средства итн</w:t>
                  </w:r>
                  <w:r>
                    <w:rPr>
                      <w:sz w:val="18"/>
                      <w:szCs w:val="18"/>
                      <w:lang w:val="mk-MK"/>
                    </w:rPr>
                    <w:t>.</w:t>
                  </w:r>
                  <w:r w:rsidRPr="00663AD6">
                    <w:rPr>
                      <w:sz w:val="18"/>
                      <w:szCs w:val="18"/>
                      <w:lang w:val="mk-MK"/>
                    </w:rPr>
                    <w:t>)</w:t>
                  </w:r>
                  <w:r>
                    <w:rPr>
                      <w:sz w:val="18"/>
                      <w:szCs w:val="18"/>
                      <w:lang w:val="mk-MK"/>
                    </w:rPr>
                    <w:t>, како и намалувањето на исправката на вредноста на финансиските и нефинансиските средства</w:t>
                  </w:r>
                  <w:r w:rsidRPr="00663AD6">
                    <w:rPr>
                      <w:sz w:val="18"/>
                      <w:szCs w:val="18"/>
                      <w:lang w:val="mk-MK"/>
                    </w:rPr>
                    <w:t>.</w:t>
                  </w:r>
                </w:p>
                <w:p w:rsidR="006F63B5" w:rsidRPr="00663AD6" w:rsidRDefault="006F63B5" w:rsidP="00D41027">
                  <w:pPr>
                    <w:rPr>
                      <w:sz w:val="18"/>
                      <w:szCs w:val="18"/>
                      <w:lang w:val="mk-MK"/>
                    </w:rPr>
                  </w:pPr>
                  <w:r w:rsidRPr="00663AD6">
                    <w:rPr>
                      <w:sz w:val="18"/>
                      <w:szCs w:val="18"/>
                      <w:lang w:val="mk-MK"/>
                    </w:rPr>
                    <w:t>**</w:t>
                  </w:r>
                  <w:r>
                    <w:rPr>
                      <w:sz w:val="18"/>
                      <w:szCs w:val="18"/>
                      <w:lang w:val="mk-MK"/>
                    </w:rPr>
                    <w:t xml:space="preserve"> </w:t>
                  </w:r>
                  <w:r w:rsidRPr="00663AD6">
                    <w:rPr>
                      <w:sz w:val="18"/>
                      <w:szCs w:val="18"/>
                      <w:lang w:val="mk-MK"/>
                    </w:rPr>
                    <w:t xml:space="preserve">Со категоријата </w:t>
                  </w:r>
                  <w:r>
                    <w:rPr>
                      <w:sz w:val="18"/>
                      <w:szCs w:val="18"/>
                      <w:lang w:val="mk-MK"/>
                    </w:rPr>
                    <w:t>„</w:t>
                  </w:r>
                  <w:r w:rsidRPr="00663AD6">
                    <w:rPr>
                      <w:sz w:val="18"/>
                      <w:szCs w:val="18"/>
                      <w:lang w:val="mk-MK"/>
                    </w:rPr>
                    <w:t>други извори на средства</w:t>
                  </w:r>
                  <w:r>
                    <w:rPr>
                      <w:sz w:val="18"/>
                      <w:szCs w:val="18"/>
                      <w:lang w:val="mk-MK"/>
                    </w:rPr>
                    <w:t>“</w:t>
                  </w:r>
                  <w:r w:rsidRPr="00663AD6">
                    <w:rPr>
                      <w:sz w:val="18"/>
                      <w:szCs w:val="18"/>
                      <w:lang w:val="mk-MK"/>
                    </w:rPr>
                    <w:t xml:space="preserve"> се опфатени сите извори на средства кои</w:t>
                  </w:r>
                  <w:r>
                    <w:rPr>
                      <w:sz w:val="18"/>
                      <w:szCs w:val="18"/>
                      <w:lang w:val="mk-MK"/>
                    </w:rPr>
                    <w:t>што</w:t>
                  </w:r>
                  <w:r w:rsidRPr="00663AD6">
                    <w:rPr>
                      <w:sz w:val="18"/>
                      <w:szCs w:val="18"/>
                      <w:lang w:val="mk-MK"/>
                    </w:rPr>
                    <w:t xml:space="preserve"> не се депозити на нефинансиски</w:t>
                  </w:r>
                  <w:r>
                    <w:rPr>
                      <w:sz w:val="18"/>
                      <w:szCs w:val="18"/>
                      <w:lang w:val="mk-MK"/>
                    </w:rPr>
                    <w:t>те</w:t>
                  </w:r>
                  <w:r w:rsidRPr="00663AD6">
                    <w:rPr>
                      <w:sz w:val="18"/>
                      <w:szCs w:val="18"/>
                      <w:lang w:val="mk-MK"/>
                    </w:rPr>
                    <w:t xml:space="preserve"> субјекти (капиталот и резервите, депозитите на финансиски инс</w:t>
                  </w:r>
                  <w:r>
                    <w:rPr>
                      <w:sz w:val="18"/>
                      <w:szCs w:val="18"/>
                      <w:lang w:val="mk-MK"/>
                    </w:rPr>
                    <w:t>т</w:t>
                  </w:r>
                  <w:r w:rsidRPr="00663AD6">
                    <w:rPr>
                      <w:sz w:val="18"/>
                      <w:szCs w:val="18"/>
                      <w:lang w:val="mk-MK"/>
                    </w:rPr>
                    <w:t>итуции, позајмиците, субординираните инструменти итн</w:t>
                  </w:r>
                  <w:r>
                    <w:rPr>
                      <w:sz w:val="18"/>
                      <w:szCs w:val="18"/>
                      <w:lang w:val="mk-MK"/>
                    </w:rPr>
                    <w:t>.</w:t>
                  </w:r>
                  <w:r w:rsidRPr="00663AD6">
                    <w:rPr>
                      <w:sz w:val="18"/>
                      <w:szCs w:val="18"/>
                      <w:lang w:val="mk-MK"/>
                    </w:rPr>
                    <w:t>)</w:t>
                  </w:r>
                  <w:r>
                    <w:rPr>
                      <w:sz w:val="18"/>
                      <w:szCs w:val="18"/>
                      <w:lang w:val="mk-MK"/>
                    </w:rPr>
                    <w:t>, како и зголемувањето на исправката на вредноста на финансиските и нефинансиските средства</w:t>
                  </w:r>
                  <w:r w:rsidRPr="00663AD6">
                    <w:rPr>
                      <w:sz w:val="18"/>
                      <w:szCs w:val="18"/>
                      <w:lang w:val="mk-MK"/>
                    </w:rPr>
                    <w:t>.</w:t>
                  </w:r>
                </w:p>
                <w:p w:rsidR="006F63B5" w:rsidRPr="00E035B8" w:rsidRDefault="006F63B5" w:rsidP="00D41027">
                  <w:pPr>
                    <w:rPr>
                      <w:lang w:val="mk-MK"/>
                    </w:rPr>
                  </w:pPr>
                </w:p>
              </w:txbxContent>
            </v:textbox>
          </v:shape>
        </w:pict>
      </w:r>
      <w:r w:rsidR="00BD3C18">
        <w:rPr>
          <w:rFonts w:cs="Tahoma"/>
          <w:lang w:val="mk-MK"/>
        </w:rPr>
        <w:t>В</w:t>
      </w:r>
      <w:r w:rsidR="00BD3C18" w:rsidRPr="00B63768">
        <w:rPr>
          <w:rFonts w:cs="Tahoma"/>
          <w:lang w:val="mk-MK"/>
        </w:rPr>
        <w:t>о текот на првиот квартал на 2013 година</w:t>
      </w:r>
      <w:r w:rsidR="00BD3C18">
        <w:rPr>
          <w:rFonts w:cs="Tahoma"/>
          <w:lang w:val="mk-MK"/>
        </w:rPr>
        <w:t>, г</w:t>
      </w:r>
      <w:r w:rsidR="00BD3C18" w:rsidRPr="00B63768">
        <w:rPr>
          <w:rFonts w:cs="Tahoma"/>
          <w:lang w:val="mk-MK"/>
        </w:rPr>
        <w:t xml:space="preserve">лавен </w:t>
      </w:r>
      <w:r w:rsidR="00D41027" w:rsidRPr="00B63768">
        <w:rPr>
          <w:rFonts w:cs="Tahoma"/>
          <w:lang w:val="mk-MK"/>
        </w:rPr>
        <w:t>носител на паричните приливи</w:t>
      </w:r>
      <w:r w:rsidR="00D41027" w:rsidRPr="00B63768">
        <w:rPr>
          <w:rStyle w:val="FootnoteReference"/>
          <w:rFonts w:cs="Tahoma"/>
          <w:lang w:val="mk-MK"/>
        </w:rPr>
        <w:footnoteReference w:id="32"/>
      </w:r>
      <w:r w:rsidR="00D41027" w:rsidRPr="00B63768">
        <w:rPr>
          <w:rFonts w:cs="Tahoma"/>
          <w:lang w:val="mk-MK"/>
        </w:rPr>
        <w:t xml:space="preserve"> на банкарскиот систем  беше растот на депозитите, иако забележително место имаше и падот на другите средства, првенствено поради растот на исправката на вредност</w:t>
      </w:r>
      <w:r w:rsidR="005F1994">
        <w:rPr>
          <w:rFonts w:cs="Tahoma"/>
          <w:lang w:val="mk-MK"/>
        </w:rPr>
        <w:t>а</w:t>
      </w:r>
      <w:r w:rsidR="00D41027" w:rsidRPr="00B63768">
        <w:rPr>
          <w:rFonts w:cs="Tahoma"/>
          <w:lang w:val="mk-MK"/>
        </w:rPr>
        <w:t xml:space="preserve"> за финансиските средства. </w:t>
      </w:r>
      <w:r w:rsidR="005F1994">
        <w:rPr>
          <w:rFonts w:cs="Tahoma"/>
          <w:lang w:val="mk-MK"/>
        </w:rPr>
        <w:t>В</w:t>
      </w:r>
      <w:r w:rsidR="005F1994" w:rsidRPr="00B63768">
        <w:rPr>
          <w:rFonts w:cs="Tahoma"/>
          <w:lang w:val="mk-MK"/>
        </w:rPr>
        <w:t>о првиот квартал од 2013 година</w:t>
      </w:r>
      <w:r w:rsidR="005F1994">
        <w:rPr>
          <w:rFonts w:cs="Tahoma"/>
          <w:lang w:val="mk-MK"/>
        </w:rPr>
        <w:t>,</w:t>
      </w:r>
      <w:r w:rsidR="005F1994" w:rsidRPr="00B63768">
        <w:rPr>
          <w:rFonts w:cs="Tahoma"/>
          <w:lang w:val="mk-MK"/>
        </w:rPr>
        <w:t xml:space="preserve"> </w:t>
      </w:r>
      <w:r w:rsidR="005F1994">
        <w:rPr>
          <w:rFonts w:cs="Tahoma"/>
          <w:lang w:val="mk-MK"/>
        </w:rPr>
        <w:t>н</w:t>
      </w:r>
      <w:r w:rsidR="005F1994" w:rsidRPr="00B63768">
        <w:rPr>
          <w:rFonts w:cs="Tahoma"/>
          <w:lang w:val="mk-MK"/>
        </w:rPr>
        <w:t xml:space="preserve">а </w:t>
      </w:r>
      <w:r w:rsidR="00D41027" w:rsidRPr="00B63768">
        <w:rPr>
          <w:rFonts w:cs="Tahoma"/>
          <w:lang w:val="mk-MK"/>
        </w:rPr>
        <w:t>страната на паричните одливи на банките</w:t>
      </w:r>
      <w:r w:rsidR="005F1994">
        <w:rPr>
          <w:rFonts w:cs="Tahoma"/>
          <w:lang w:val="mk-MK"/>
        </w:rPr>
        <w:t xml:space="preserve"> </w:t>
      </w:r>
      <w:r w:rsidR="005F1994" w:rsidRPr="00B63768">
        <w:rPr>
          <w:rFonts w:cs="Tahoma"/>
          <w:lang w:val="mk-MK"/>
        </w:rPr>
        <w:t>најголем удел имаа пласманите во ликвидни средства</w:t>
      </w:r>
      <w:r w:rsidR="005F1994">
        <w:rPr>
          <w:rFonts w:cs="Tahoma"/>
          <w:lang w:val="mk-MK"/>
        </w:rPr>
        <w:t xml:space="preserve">, </w:t>
      </w:r>
      <w:r w:rsidR="00D41027" w:rsidRPr="00B63768">
        <w:rPr>
          <w:rFonts w:cs="Tahoma"/>
          <w:lang w:val="mk-MK"/>
        </w:rPr>
        <w:t xml:space="preserve">што е уште една потврда за скромниот апетит на банките за </w:t>
      </w:r>
      <w:r w:rsidR="00335546" w:rsidRPr="00B63768">
        <w:rPr>
          <w:rFonts w:cs="Tahoma"/>
          <w:lang w:val="mk-MK"/>
        </w:rPr>
        <w:t>по</w:t>
      </w:r>
      <w:r w:rsidR="00335546">
        <w:rPr>
          <w:rFonts w:cs="Tahoma"/>
          <w:lang w:val="mk-MK"/>
        </w:rPr>
        <w:t>сил</w:t>
      </w:r>
      <w:r w:rsidR="00335546" w:rsidRPr="00B63768">
        <w:rPr>
          <w:rFonts w:cs="Tahoma"/>
          <w:lang w:val="mk-MK"/>
        </w:rPr>
        <w:t xml:space="preserve">но </w:t>
      </w:r>
      <w:r w:rsidR="00D41027" w:rsidRPr="00B63768">
        <w:rPr>
          <w:rFonts w:cs="Tahoma"/>
          <w:lang w:val="mk-MK"/>
        </w:rPr>
        <w:t xml:space="preserve">зголемување на кредитната активност. Падот на другите извори на средства во првиот квартал на 2013 година произлегува првенствено од намалувањето на изворите на средства коишто македонските банки ги користат од </w:t>
      </w:r>
      <w:r w:rsidR="00335546">
        <w:rPr>
          <w:rFonts w:cs="Tahoma"/>
          <w:lang w:val="mk-MK"/>
        </w:rPr>
        <w:t>сво</w:t>
      </w:r>
      <w:r w:rsidR="00335546" w:rsidRPr="00B63768">
        <w:rPr>
          <w:rFonts w:cs="Tahoma"/>
          <w:lang w:val="mk-MK"/>
        </w:rPr>
        <w:t xml:space="preserve">ите </w:t>
      </w:r>
      <w:r w:rsidR="00D41027" w:rsidRPr="00B63768">
        <w:rPr>
          <w:rFonts w:cs="Tahoma"/>
          <w:lang w:val="mk-MK"/>
        </w:rPr>
        <w:t xml:space="preserve">матични лица, но и од намалувањето на износот на обврски врз основа на склучени репо-трансакции на домашниот пазар на пари. </w:t>
      </w:r>
    </w:p>
    <w:p w:rsidR="00D41027" w:rsidRPr="00B63768" w:rsidRDefault="00D41027" w:rsidP="00D41027">
      <w:pPr>
        <w:rPr>
          <w:rFonts w:cs="Tahoma"/>
          <w:lang w:val="mk-MK"/>
        </w:rPr>
      </w:pPr>
    </w:p>
    <w:p w:rsidR="00D41027" w:rsidRPr="00B63768" w:rsidRDefault="00D41027" w:rsidP="00D41027">
      <w:pPr>
        <w:rPr>
          <w:rFonts w:cs="Tahoma"/>
          <w:lang w:val="mk-MK"/>
        </w:rPr>
      </w:pPr>
    </w:p>
    <w:p w:rsidR="00D41027" w:rsidRPr="00B63768" w:rsidRDefault="00D41027" w:rsidP="00D41027">
      <w:pPr>
        <w:rPr>
          <w:rFonts w:cs="Tahoma"/>
          <w:lang w:val="mk-MK"/>
        </w:rPr>
      </w:pPr>
    </w:p>
    <w:p w:rsidR="00D41027" w:rsidRDefault="00D41027"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Default="0097039F" w:rsidP="00D41027">
      <w:pPr>
        <w:ind w:firstLine="567"/>
        <w:rPr>
          <w:rFonts w:cs="Tahoma"/>
          <w:lang w:val="mk-MK"/>
        </w:rPr>
      </w:pPr>
    </w:p>
    <w:p w:rsidR="0097039F" w:rsidRPr="00B63768" w:rsidRDefault="0097039F" w:rsidP="00D41027">
      <w:pPr>
        <w:ind w:firstLine="567"/>
        <w:rPr>
          <w:rFonts w:cs="Tahoma"/>
          <w:lang w:val="mk-MK"/>
        </w:rPr>
      </w:pPr>
    </w:p>
    <w:p w:rsidR="00D41027" w:rsidRPr="00B63768" w:rsidRDefault="00D41027" w:rsidP="00D41027">
      <w:pPr>
        <w:ind w:firstLine="567"/>
        <w:rPr>
          <w:rFonts w:cs="Tahoma"/>
          <w:lang w:val="mk-MK"/>
        </w:rPr>
      </w:pPr>
    </w:p>
    <w:p w:rsidR="00D41027" w:rsidRPr="00B63768" w:rsidRDefault="00040D2C" w:rsidP="00D41027">
      <w:pPr>
        <w:ind w:firstLine="567"/>
        <w:rPr>
          <w:rFonts w:cs="Tahoma"/>
          <w:lang w:val="mk-MK"/>
        </w:rPr>
      </w:pPr>
      <w:r w:rsidRPr="00040D2C">
        <w:rPr>
          <w:rFonts w:cs="Tahoma"/>
          <w:lang w:val="mk-MK"/>
        </w:rPr>
        <w:lastRenderedPageBreak/>
        <w:pict>
          <v:shape id="_x0000_s1063" type="#_x0000_t202" style="position:absolute;left:0;text-align:left;margin-left:-226.35pt;margin-top:-11.9pt;width:208.45pt;height:246.75pt;z-index:251702272">
            <v:textbox style="mso-next-textbox:#_x0000_s1063">
              <w:txbxContent>
                <w:p w:rsidR="006F63B5" w:rsidRDefault="006F63B5" w:rsidP="00D41027">
                  <w:pPr>
                    <w:pStyle w:val="Caption"/>
                    <w:rPr>
                      <w:szCs w:val="20"/>
                      <w:lang w:val="mk-MK"/>
                    </w:rPr>
                  </w:pPr>
                  <w:r>
                    <w:t xml:space="preserve">Графикон бр. </w:t>
                  </w:r>
                  <w:fldSimple w:instr=" SEQ Графикон_бр. \* ARABIC ">
                    <w:r w:rsidR="0097039F">
                      <w:rPr>
                        <w:noProof/>
                      </w:rPr>
                      <w:t>39</w:t>
                    </w:r>
                  </w:fldSimple>
                  <w:r>
                    <w:rPr>
                      <w:lang w:val="mk-MK"/>
                    </w:rPr>
                    <w:t xml:space="preserve"> </w:t>
                  </w:r>
                  <w:r>
                    <w:rPr>
                      <w:szCs w:val="20"/>
                      <w:lang w:val="mk-MK"/>
                    </w:rPr>
                    <w:t xml:space="preserve">Апсолутна големина </w:t>
                  </w:r>
                  <w:r w:rsidRPr="005A080E">
                    <w:rPr>
                      <w:szCs w:val="20"/>
                      <w:lang w:val="mk-MK"/>
                    </w:rPr>
                    <w:t>на средствата и обврските на банките според договорната преостаната рочност</w:t>
                  </w:r>
                  <w:r>
                    <w:rPr>
                      <w:szCs w:val="20"/>
                      <w:lang w:val="mk-MK"/>
                    </w:rPr>
                    <w:t xml:space="preserve"> </w:t>
                  </w:r>
                </w:p>
                <w:p w:rsidR="006F63B5" w:rsidRDefault="006F63B5" w:rsidP="00D41027">
                  <w:pPr>
                    <w:pStyle w:val="Caption"/>
                    <w:rPr>
                      <w:lang w:val="mk-MK"/>
                    </w:rPr>
                  </w:pPr>
                  <w:r w:rsidRPr="00E035B8">
                    <w:rPr>
                      <w:noProof/>
                    </w:rPr>
                    <w:drawing>
                      <wp:inline distT="0" distB="0" distL="0" distR="0">
                        <wp:extent cx="2454910" cy="2144723"/>
                        <wp:effectExtent l="19050" t="0" r="2540" b="0"/>
                        <wp:docPr id="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srcRect/>
                                <a:stretch>
                                  <a:fillRect/>
                                </a:stretch>
                              </pic:blipFill>
                              <pic:spPr bwMode="auto">
                                <a:xfrm>
                                  <a:off x="0" y="0"/>
                                  <a:ext cx="2454910" cy="2144723"/>
                                </a:xfrm>
                                <a:prstGeom prst="rect">
                                  <a:avLst/>
                                </a:prstGeom>
                                <a:noFill/>
                                <a:ln w="9525">
                                  <a:noFill/>
                                  <a:miter lim="800000"/>
                                  <a:headEnd/>
                                  <a:tailEnd/>
                                </a:ln>
                              </pic:spPr>
                            </pic:pic>
                          </a:graphicData>
                        </a:graphic>
                      </wp:inline>
                    </w:drawing>
                  </w:r>
                </w:p>
                <w:p w:rsidR="006F63B5" w:rsidRPr="005A6118" w:rsidRDefault="006F63B5" w:rsidP="00D4102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E035B8" w:rsidRDefault="006F63B5" w:rsidP="00D41027">
                  <w:pPr>
                    <w:rPr>
                      <w:lang w:val="mk-MK"/>
                    </w:rPr>
                  </w:pPr>
                </w:p>
              </w:txbxContent>
            </v:textbox>
          </v:shape>
        </w:pict>
      </w:r>
      <w:r w:rsidR="00D41027" w:rsidRPr="00B63768">
        <w:rPr>
          <w:rFonts w:cs="Tahoma"/>
          <w:lang w:val="mk-MK"/>
        </w:rPr>
        <w:t>Во првиот квартал на 2013 година, продолжи трендот на зголемување на договорната преостаната рочност на обврските на банките</w:t>
      </w:r>
      <w:r w:rsidR="00335546">
        <w:rPr>
          <w:rFonts w:cs="Tahoma"/>
          <w:lang w:val="mk-MK"/>
        </w:rPr>
        <w:t>,</w:t>
      </w:r>
      <w:r w:rsidR="00D41027" w:rsidRPr="00B63768">
        <w:rPr>
          <w:rFonts w:cs="Tahoma"/>
          <w:lang w:val="mk-MK"/>
        </w:rPr>
        <w:t xml:space="preserve"> што </w:t>
      </w:r>
      <w:r w:rsidR="00973A14" w:rsidRPr="00B63768">
        <w:rPr>
          <w:rFonts w:cs="Tahoma"/>
          <w:lang w:val="mk-MK"/>
        </w:rPr>
        <w:t>се должи</w:t>
      </w:r>
      <w:r w:rsidR="00D41027" w:rsidRPr="00B63768">
        <w:rPr>
          <w:rFonts w:cs="Tahoma"/>
          <w:lang w:val="mk-MK"/>
        </w:rPr>
        <w:t xml:space="preserve"> на зголемувањето на </w:t>
      </w:r>
      <w:r w:rsidR="00973A14" w:rsidRPr="00B63768">
        <w:rPr>
          <w:rFonts w:cs="Tahoma"/>
          <w:lang w:val="mk-MK"/>
        </w:rPr>
        <w:t>рочноста</w:t>
      </w:r>
      <w:r w:rsidR="00D41027" w:rsidRPr="00B63768">
        <w:rPr>
          <w:rFonts w:cs="Tahoma"/>
          <w:lang w:val="mk-MK"/>
        </w:rPr>
        <w:t xml:space="preserve"> на депозитите. Од друга страна, кај средствата на банките, </w:t>
      </w:r>
      <w:r w:rsidR="00335546" w:rsidRPr="00B63768">
        <w:rPr>
          <w:rFonts w:cs="Tahoma"/>
          <w:lang w:val="mk-MK"/>
        </w:rPr>
        <w:t>нај</w:t>
      </w:r>
      <w:r w:rsidR="00335546">
        <w:rPr>
          <w:rFonts w:cs="Tahoma"/>
          <w:lang w:val="mk-MK"/>
        </w:rPr>
        <w:t>голем</w:t>
      </w:r>
      <w:r w:rsidR="00335546" w:rsidRPr="00B63768">
        <w:rPr>
          <w:rFonts w:cs="Tahoma"/>
          <w:lang w:val="mk-MK"/>
        </w:rPr>
        <w:t xml:space="preserve"> </w:t>
      </w:r>
      <w:r w:rsidR="00D41027" w:rsidRPr="00B63768">
        <w:rPr>
          <w:rFonts w:cs="Tahoma"/>
          <w:lang w:val="mk-MK"/>
        </w:rPr>
        <w:t xml:space="preserve">квартален раст забележаа средствата со договорна преостаната рочност до еден месец, што првенствено произлегува од растот на вложувањата на банките во ликвидни хартии од вредност и нивната структура според преостанатата рочност (анекс бр. </w:t>
      </w:r>
      <w:r w:rsidR="004812D5" w:rsidRPr="00B63768">
        <w:rPr>
          <w:rFonts w:cs="Tahoma"/>
          <w:lang w:val="mk-MK"/>
        </w:rPr>
        <w:t xml:space="preserve">28). </w:t>
      </w:r>
      <w:r w:rsidR="00D41027" w:rsidRPr="00B63768">
        <w:rPr>
          <w:rFonts w:cs="Tahoma"/>
          <w:lang w:val="mk-MK"/>
        </w:rPr>
        <w:t xml:space="preserve">Обврските на банките и понатаму имаат </w:t>
      </w:r>
      <w:r w:rsidR="00335546">
        <w:rPr>
          <w:rFonts w:cs="Tahoma"/>
          <w:lang w:val="mk-MK"/>
        </w:rPr>
        <w:t>малку</w:t>
      </w:r>
      <w:r w:rsidR="00335546" w:rsidRPr="00B63768">
        <w:rPr>
          <w:rFonts w:cs="Tahoma"/>
          <w:lang w:val="mk-MK"/>
        </w:rPr>
        <w:t xml:space="preserve"> </w:t>
      </w:r>
      <w:r w:rsidR="00D41027" w:rsidRPr="00B63768">
        <w:rPr>
          <w:rFonts w:cs="Tahoma"/>
          <w:lang w:val="mk-MK"/>
        </w:rPr>
        <w:t xml:space="preserve">поголема договорна преостаната рочност во споредба со средствата. </w:t>
      </w:r>
    </w:p>
    <w:p w:rsidR="00D41027" w:rsidRPr="00B63768" w:rsidRDefault="00D41027" w:rsidP="00D41027">
      <w:pPr>
        <w:ind w:firstLine="540"/>
        <w:rPr>
          <w:rFonts w:cs="Tahoma"/>
          <w:lang w:val="mk-MK"/>
        </w:rPr>
      </w:pPr>
    </w:p>
    <w:p w:rsidR="00D41027" w:rsidRPr="00B63768" w:rsidRDefault="00D41027" w:rsidP="00D41027">
      <w:pPr>
        <w:ind w:firstLine="540"/>
        <w:rPr>
          <w:rFonts w:cs="Tahoma"/>
          <w:lang w:val="mk-MK"/>
        </w:rPr>
      </w:pPr>
    </w:p>
    <w:p w:rsidR="00D41027" w:rsidRPr="00B63768" w:rsidRDefault="00D41027" w:rsidP="00D41027">
      <w:pPr>
        <w:ind w:firstLine="540"/>
        <w:rPr>
          <w:rFonts w:cs="Tahoma"/>
          <w:lang w:val="mk-MK"/>
        </w:rPr>
      </w:pPr>
    </w:p>
    <w:p w:rsidR="00D41027" w:rsidRPr="00B63768" w:rsidRDefault="00D41027" w:rsidP="00D41027">
      <w:pPr>
        <w:ind w:firstLine="540"/>
        <w:rPr>
          <w:rFonts w:cs="Tahoma"/>
          <w:lang w:val="mk-MK"/>
        </w:rPr>
      </w:pPr>
    </w:p>
    <w:p w:rsidR="00D41027" w:rsidRPr="00B63768" w:rsidRDefault="00040D2C" w:rsidP="00D41027">
      <w:pPr>
        <w:ind w:firstLine="540"/>
        <w:rPr>
          <w:rFonts w:cs="Tahoma"/>
          <w:lang w:val="mk-MK"/>
        </w:rPr>
      </w:pPr>
      <w:r w:rsidRPr="00040D2C">
        <w:rPr>
          <w:rFonts w:cs="Tahoma"/>
          <w:lang w:val="mk-MK"/>
        </w:rPr>
        <w:pict>
          <v:shape id="_x0000_s1064" type="#_x0000_t202" style="position:absolute;left:0;text-align:left;margin-left:-228.85pt;margin-top:5.4pt;width:211.85pt;height:250.5pt;z-index:251703296">
            <v:textbox style="mso-next-textbox:#_x0000_s1064">
              <w:txbxContent>
                <w:p w:rsidR="006F63B5" w:rsidRDefault="006F63B5" w:rsidP="00D41027">
                  <w:pPr>
                    <w:pStyle w:val="Caption"/>
                    <w:rPr>
                      <w:lang w:val="mk-MK"/>
                    </w:rPr>
                  </w:pPr>
                  <w:r>
                    <w:t xml:space="preserve">Графикон бр. </w:t>
                  </w:r>
                  <w:fldSimple w:instr=" SEQ Графикон_бр. \* ARABIC ">
                    <w:r>
                      <w:rPr>
                        <w:noProof/>
                      </w:rPr>
                      <w:t>40</w:t>
                    </w:r>
                  </w:fldSimple>
                  <w:r>
                    <w:rPr>
                      <w:lang w:val="mk-MK"/>
                    </w:rPr>
                    <w:t xml:space="preserve"> </w:t>
                  </w:r>
                  <w:r w:rsidRPr="00024456">
                    <w:rPr>
                      <w:szCs w:val="20"/>
                      <w:lang w:val="mk-MK"/>
                    </w:rPr>
                    <w:t>Договорна преостаната рочна (не)усогласеност меѓу средствата и обврските по рочни сегменти</w:t>
                  </w:r>
                </w:p>
                <w:p w:rsidR="006F63B5" w:rsidRDefault="006F63B5" w:rsidP="00D41027">
                  <w:pPr>
                    <w:pStyle w:val="Caption"/>
                    <w:rPr>
                      <w:lang w:val="mk-MK"/>
                    </w:rPr>
                  </w:pPr>
                  <w:r w:rsidRPr="00E035B8">
                    <w:rPr>
                      <w:noProof/>
                    </w:rPr>
                    <w:drawing>
                      <wp:inline distT="0" distB="0" distL="0" distR="0">
                        <wp:extent cx="2454910" cy="2108120"/>
                        <wp:effectExtent l="19050" t="0" r="2540" b="0"/>
                        <wp:docPr id="3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srcRect/>
                                <a:stretch>
                                  <a:fillRect/>
                                </a:stretch>
                              </pic:blipFill>
                              <pic:spPr bwMode="auto">
                                <a:xfrm>
                                  <a:off x="0" y="0"/>
                                  <a:ext cx="2454910" cy="2108120"/>
                                </a:xfrm>
                                <a:prstGeom prst="rect">
                                  <a:avLst/>
                                </a:prstGeom>
                                <a:noFill/>
                                <a:ln w="9525">
                                  <a:noFill/>
                                  <a:miter lim="800000"/>
                                  <a:headEnd/>
                                  <a:tailEnd/>
                                </a:ln>
                              </pic:spPr>
                            </pic:pic>
                          </a:graphicData>
                        </a:graphic>
                      </wp:inline>
                    </w:drawing>
                  </w:r>
                </w:p>
                <w:p w:rsidR="006F63B5" w:rsidRPr="005A6118" w:rsidRDefault="006F63B5" w:rsidP="00D4102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E035B8" w:rsidRDefault="006F63B5" w:rsidP="00D41027">
                  <w:pPr>
                    <w:rPr>
                      <w:lang w:val="mk-MK"/>
                    </w:rPr>
                  </w:pPr>
                </w:p>
              </w:txbxContent>
            </v:textbox>
          </v:shape>
        </w:pict>
      </w:r>
    </w:p>
    <w:p w:rsidR="00D41027" w:rsidRPr="00B63768" w:rsidRDefault="00D41027" w:rsidP="00D41027">
      <w:pPr>
        <w:ind w:firstLine="540"/>
        <w:rPr>
          <w:rFonts w:cs="Tahoma"/>
          <w:lang w:val="mk-MK"/>
        </w:rPr>
      </w:pPr>
      <w:r w:rsidRPr="00B63768">
        <w:rPr>
          <w:rFonts w:cs="Tahoma"/>
          <w:lang w:val="mk-MK"/>
        </w:rPr>
        <w:t xml:space="preserve">Во првиот квартал од 2013 година, единствено во рочниот сегмент од 8 до 30 дена се забележува позитивна разлика меѓу договорната преостаната рочност на средствата и обврските на банките. Притоа, рочната неусогласеност меѓу средствата и обврските се намали во рочните сегмент со преостаната рочност до 7 дена, а се продлабочи во рочните сегменти над три месеци. </w:t>
      </w:r>
    </w:p>
    <w:p w:rsidR="00D41027" w:rsidRPr="00B63768" w:rsidRDefault="00D41027"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Pr="00B63768" w:rsidRDefault="00695A19" w:rsidP="00D41027">
      <w:pPr>
        <w:ind w:firstLine="567"/>
        <w:rPr>
          <w:rFonts w:cs="Tahoma"/>
          <w:b/>
          <w:lang w:val="mk-MK"/>
        </w:rPr>
      </w:pPr>
    </w:p>
    <w:p w:rsidR="00695A19" w:rsidRDefault="00695A19" w:rsidP="00D41027">
      <w:pPr>
        <w:ind w:firstLine="567"/>
        <w:rPr>
          <w:rFonts w:cs="Tahoma"/>
          <w:b/>
          <w:lang w:val="mk-MK"/>
        </w:rPr>
      </w:pPr>
    </w:p>
    <w:p w:rsidR="0097039F" w:rsidRPr="00B63768" w:rsidRDefault="0097039F" w:rsidP="00D41027">
      <w:pPr>
        <w:ind w:firstLine="567"/>
        <w:rPr>
          <w:rFonts w:cs="Tahoma"/>
          <w:b/>
          <w:lang w:val="mk-MK"/>
        </w:rPr>
      </w:pPr>
    </w:p>
    <w:p w:rsidR="00695A19" w:rsidRPr="00B63768" w:rsidRDefault="00695A19" w:rsidP="00D41027">
      <w:pPr>
        <w:ind w:firstLine="567"/>
        <w:rPr>
          <w:rFonts w:cs="Tahoma"/>
          <w:b/>
          <w:lang w:val="mk-MK"/>
        </w:rPr>
      </w:pPr>
    </w:p>
    <w:p w:rsidR="00D41027" w:rsidRPr="00B63768" w:rsidRDefault="00040D2C" w:rsidP="00D41027">
      <w:pPr>
        <w:ind w:firstLine="567"/>
        <w:rPr>
          <w:rFonts w:cs="Tahoma"/>
          <w:lang w:val="mk-MK"/>
        </w:rPr>
      </w:pPr>
      <w:r w:rsidRPr="00040D2C">
        <w:rPr>
          <w:rFonts w:cs="Tahoma"/>
          <w:b/>
          <w:lang w:val="mk-MK"/>
        </w:rPr>
        <w:lastRenderedPageBreak/>
        <w:pict>
          <v:shape id="_x0000_s1065" type="#_x0000_t202" style="position:absolute;left:0;text-align:left;margin-left:-226.35pt;margin-top:-9.9pt;width:213.25pt;height:287.3pt;z-index:251704320">
            <v:textbox style="mso-next-textbox:#_x0000_s1065">
              <w:txbxContent>
                <w:p w:rsidR="006F63B5" w:rsidRDefault="006F63B5" w:rsidP="00116403">
                  <w:pPr>
                    <w:pStyle w:val="Caption"/>
                    <w:rPr>
                      <w:szCs w:val="20"/>
                      <w:lang w:val="mk-MK"/>
                    </w:rPr>
                  </w:pPr>
                  <w:r>
                    <w:t xml:space="preserve">Графикон бр. </w:t>
                  </w:r>
                  <w:fldSimple w:instr=" SEQ Графикон_бр. \* ARABIC ">
                    <w:r>
                      <w:rPr>
                        <w:noProof/>
                      </w:rPr>
                      <w:t>41</w:t>
                    </w:r>
                  </w:fldSimple>
                  <w:r>
                    <w:rPr>
                      <w:lang w:val="mk-MK"/>
                    </w:rPr>
                    <w:t xml:space="preserve"> </w:t>
                  </w:r>
                  <w:r w:rsidRPr="00055EE1">
                    <w:rPr>
                      <w:szCs w:val="20"/>
                      <w:lang w:val="mk-MK"/>
                    </w:rPr>
                    <w:t xml:space="preserve">Збирна (кумулативна) </w:t>
                  </w:r>
                  <w:r>
                    <w:rPr>
                      <w:szCs w:val="20"/>
                      <w:lang w:val="mk-MK"/>
                    </w:rPr>
                    <w:t>договорна</w:t>
                  </w:r>
                  <w:r w:rsidRPr="00055EE1">
                    <w:rPr>
                      <w:szCs w:val="20"/>
                      <w:lang w:val="mk-MK"/>
                    </w:rPr>
                    <w:t xml:space="preserve"> разлика меѓу средствата и обврските</w:t>
                  </w:r>
                  <w:r>
                    <w:rPr>
                      <w:szCs w:val="20"/>
                      <w:lang w:val="mk-MK"/>
                    </w:rPr>
                    <w:t xml:space="preserve"> на банките,</w:t>
                  </w:r>
                  <w:r w:rsidRPr="00055EE1">
                    <w:rPr>
                      <w:szCs w:val="20"/>
                      <w:lang w:val="mk-MK"/>
                    </w:rPr>
                    <w:t xml:space="preserve"> </w:t>
                  </w:r>
                  <w:r>
                    <w:rPr>
                      <w:szCs w:val="20"/>
                      <w:lang w:val="mk-MK"/>
                    </w:rPr>
                    <w:t>изразена како процент од збирните средства со истата</w:t>
                  </w:r>
                  <w:r w:rsidRPr="00055EE1">
                    <w:rPr>
                      <w:szCs w:val="20"/>
                      <w:lang w:val="mk-MK"/>
                    </w:rPr>
                    <w:t xml:space="preserve"> договорна преостаната рочност</w:t>
                  </w:r>
                </w:p>
                <w:p w:rsidR="006F63B5" w:rsidRDefault="006F63B5" w:rsidP="00116403">
                  <w:pPr>
                    <w:rPr>
                      <w:lang w:val="mk-MK"/>
                    </w:rPr>
                  </w:pPr>
                  <w:r w:rsidRPr="00116403">
                    <w:rPr>
                      <w:noProof/>
                    </w:rPr>
                    <w:drawing>
                      <wp:inline distT="0" distB="0" distL="0" distR="0">
                        <wp:extent cx="2515870" cy="2366227"/>
                        <wp:effectExtent l="19050" t="0" r="0" b="0"/>
                        <wp:docPr id="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srcRect/>
                                <a:stretch>
                                  <a:fillRect/>
                                </a:stretch>
                              </pic:blipFill>
                              <pic:spPr bwMode="auto">
                                <a:xfrm>
                                  <a:off x="0" y="0"/>
                                  <a:ext cx="2515870" cy="2366227"/>
                                </a:xfrm>
                                <a:prstGeom prst="rect">
                                  <a:avLst/>
                                </a:prstGeom>
                                <a:noFill/>
                                <a:ln w="9525">
                                  <a:noFill/>
                                  <a:miter lim="800000"/>
                                  <a:headEnd/>
                                  <a:tailEnd/>
                                </a:ln>
                              </pic:spPr>
                            </pic:pic>
                          </a:graphicData>
                        </a:graphic>
                      </wp:inline>
                    </w:drawing>
                  </w:r>
                </w:p>
                <w:p w:rsidR="006F63B5" w:rsidRPr="005A6118" w:rsidRDefault="006F63B5" w:rsidP="0011640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116403" w:rsidRDefault="006F63B5" w:rsidP="00116403">
                  <w:pPr>
                    <w:rPr>
                      <w:lang w:val="mk-MK"/>
                    </w:rPr>
                  </w:pPr>
                </w:p>
              </w:txbxContent>
            </v:textbox>
          </v:shape>
        </w:pict>
      </w:r>
      <w:r w:rsidR="00D41027" w:rsidRPr="00B63768">
        <w:rPr>
          <w:rFonts w:cs="Tahoma"/>
          <w:b/>
          <w:lang w:val="mk-MK"/>
        </w:rPr>
        <w:t xml:space="preserve">Во текот на првиот квартал на 2013 година, дојде до извесно намалување на значењето на збирната разлика меѓу средствата и обврските на банките. </w:t>
      </w:r>
      <w:r w:rsidR="00D41027" w:rsidRPr="00B63768">
        <w:rPr>
          <w:rFonts w:cs="Tahoma"/>
          <w:lang w:val="mk-MK"/>
        </w:rPr>
        <w:t>Оваа појава се забележува истовремено кај збирниот јаз меѓу средствата и обврските со преостаната рочност до еден месец и до три месеци. Притоа, според валутните карактеристики на средствата и обврските</w:t>
      </w:r>
      <w:r w:rsidR="00AE50FC">
        <w:rPr>
          <w:rFonts w:cs="Tahoma"/>
          <w:lang w:val="mk-MK"/>
        </w:rPr>
        <w:t>,</w:t>
      </w:r>
      <w:r w:rsidR="00D41027" w:rsidRPr="00B63768">
        <w:rPr>
          <w:rFonts w:cs="Tahoma"/>
          <w:lang w:val="mk-MK"/>
        </w:rPr>
        <w:t xml:space="preserve"> </w:t>
      </w:r>
      <w:r w:rsidR="00AE50FC" w:rsidRPr="00B63768">
        <w:rPr>
          <w:rFonts w:cs="Tahoma"/>
          <w:lang w:val="mk-MK"/>
        </w:rPr>
        <w:t>релативното значење на негативниот јаз меѓу средствата и обврските во девизи</w:t>
      </w:r>
      <w:r w:rsidR="00AE50FC">
        <w:rPr>
          <w:rFonts w:cs="Tahoma"/>
          <w:lang w:val="mk-MK"/>
        </w:rPr>
        <w:t xml:space="preserve"> е </w:t>
      </w:r>
      <w:r w:rsidR="00D41027" w:rsidRPr="00B63768">
        <w:rPr>
          <w:rFonts w:cs="Tahoma"/>
          <w:lang w:val="mk-MK"/>
        </w:rPr>
        <w:t>видливо поизразено. Покрај ова, кај денарските средства и обврски, на квартална основа, дојде до намалување на збирната разлика меѓу денарските средства и обврски со договорна преостаната рочност до 30 дена, наспроти збирната разлика меѓу девизните средства и обврски</w:t>
      </w:r>
      <w:r w:rsidR="00AE50FC">
        <w:rPr>
          <w:rFonts w:cs="Tahoma"/>
          <w:lang w:val="mk-MK"/>
        </w:rPr>
        <w:t>,</w:t>
      </w:r>
      <w:r w:rsidR="00D41027" w:rsidRPr="00B63768">
        <w:rPr>
          <w:rFonts w:cs="Tahoma"/>
          <w:lang w:val="mk-MK"/>
        </w:rPr>
        <w:t xml:space="preserve"> каде</w:t>
      </w:r>
      <w:r w:rsidR="00AE50FC">
        <w:rPr>
          <w:rFonts w:cs="Tahoma"/>
          <w:lang w:val="mk-MK"/>
        </w:rPr>
        <w:t xml:space="preserve"> </w:t>
      </w:r>
      <w:r w:rsidR="00D41027" w:rsidRPr="00B63768">
        <w:rPr>
          <w:rFonts w:cs="Tahoma"/>
          <w:lang w:val="mk-MK"/>
        </w:rPr>
        <w:t>што се забележува спр</w:t>
      </w:r>
      <w:r w:rsidR="000C7054" w:rsidRPr="00B63768">
        <w:rPr>
          <w:rFonts w:cs="Tahoma"/>
          <w:lang w:val="mk-MK"/>
        </w:rPr>
        <w:t>о</w:t>
      </w:r>
      <w:r w:rsidR="00D41027" w:rsidRPr="00B63768">
        <w:rPr>
          <w:rFonts w:cs="Tahoma"/>
          <w:lang w:val="mk-MK"/>
        </w:rPr>
        <w:t>тивно движење.</w:t>
      </w:r>
    </w:p>
    <w:p w:rsidR="00D41027" w:rsidRPr="00B63768" w:rsidRDefault="00D41027" w:rsidP="00D41027">
      <w:pPr>
        <w:ind w:firstLine="709"/>
        <w:rPr>
          <w:rFonts w:cs="Tahoma"/>
          <w:lang w:val="mk-MK"/>
        </w:rPr>
      </w:pPr>
    </w:p>
    <w:p w:rsidR="00D41027" w:rsidRPr="00B63768" w:rsidRDefault="00040D2C" w:rsidP="00D41027">
      <w:pPr>
        <w:ind w:firstLine="709"/>
        <w:rPr>
          <w:rFonts w:cs="Tahoma"/>
          <w:lang w:val="mk-MK"/>
        </w:rPr>
      </w:pPr>
      <w:r w:rsidRPr="00040D2C">
        <w:rPr>
          <w:rFonts w:cs="Tahoma"/>
          <w:lang w:val="mk-MK"/>
        </w:rPr>
        <w:pict>
          <v:shape id="_x0000_s1066" type="#_x0000_t202" style="position:absolute;left:0;text-align:left;margin-left:-226.85pt;margin-top:38.5pt;width:210.35pt;height:288.7pt;z-index:251705344">
            <v:textbox>
              <w:txbxContent>
                <w:p w:rsidR="006F63B5" w:rsidRDefault="006F63B5" w:rsidP="00116403">
                  <w:pPr>
                    <w:pStyle w:val="Caption"/>
                    <w:rPr>
                      <w:szCs w:val="20"/>
                      <w:lang w:val="mk-MK"/>
                    </w:rPr>
                  </w:pPr>
                  <w:r>
                    <w:t xml:space="preserve">Графикон бр. </w:t>
                  </w:r>
                  <w:fldSimple w:instr=" SEQ Графикон_бр. \* ARABIC ">
                    <w:r>
                      <w:rPr>
                        <w:noProof/>
                      </w:rPr>
                      <w:t>42</w:t>
                    </w:r>
                  </w:fldSimple>
                  <w:r>
                    <w:rPr>
                      <w:lang w:val="mk-MK"/>
                    </w:rPr>
                    <w:t xml:space="preserve"> </w:t>
                  </w:r>
                  <w:r w:rsidRPr="00055EE1">
                    <w:rPr>
                      <w:szCs w:val="20"/>
                      <w:lang w:val="mk-MK"/>
                    </w:rPr>
                    <w:t xml:space="preserve">Збирна (кумулативна) </w:t>
                  </w:r>
                  <w:r>
                    <w:rPr>
                      <w:szCs w:val="20"/>
                      <w:lang w:val="mk-MK"/>
                    </w:rPr>
                    <w:t>очекувана</w:t>
                  </w:r>
                  <w:r w:rsidRPr="00055EE1">
                    <w:rPr>
                      <w:szCs w:val="20"/>
                      <w:lang w:val="mk-MK"/>
                    </w:rPr>
                    <w:t xml:space="preserve"> разлика меѓу средствата и обврските</w:t>
                  </w:r>
                  <w:r>
                    <w:rPr>
                      <w:szCs w:val="20"/>
                      <w:lang w:val="mk-MK"/>
                    </w:rPr>
                    <w:t xml:space="preserve"> на банките,</w:t>
                  </w:r>
                  <w:r w:rsidRPr="00055EE1">
                    <w:rPr>
                      <w:szCs w:val="20"/>
                      <w:lang w:val="mk-MK"/>
                    </w:rPr>
                    <w:t xml:space="preserve"> </w:t>
                  </w:r>
                  <w:r>
                    <w:rPr>
                      <w:szCs w:val="20"/>
                      <w:lang w:val="mk-MK"/>
                    </w:rPr>
                    <w:t xml:space="preserve">изразена како процент од збирните средства со истата договорна </w:t>
                  </w:r>
                  <w:r w:rsidRPr="00055EE1">
                    <w:rPr>
                      <w:szCs w:val="20"/>
                      <w:lang w:val="mk-MK"/>
                    </w:rPr>
                    <w:t>преостаната рочност</w:t>
                  </w:r>
                </w:p>
                <w:p w:rsidR="006F63B5" w:rsidRDefault="006F63B5" w:rsidP="00116403">
                  <w:pPr>
                    <w:rPr>
                      <w:lang w:val="mk-MK"/>
                    </w:rPr>
                  </w:pPr>
                  <w:r w:rsidRPr="00116403">
                    <w:rPr>
                      <w:noProof/>
                    </w:rPr>
                    <w:drawing>
                      <wp:inline distT="0" distB="0" distL="0" distR="0">
                        <wp:extent cx="2515870" cy="2319464"/>
                        <wp:effectExtent l="1905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2515870" cy="2319464"/>
                                </a:xfrm>
                                <a:prstGeom prst="rect">
                                  <a:avLst/>
                                </a:prstGeom>
                                <a:noFill/>
                                <a:ln w="9525">
                                  <a:noFill/>
                                  <a:miter lim="800000"/>
                                  <a:headEnd/>
                                  <a:tailEnd/>
                                </a:ln>
                              </pic:spPr>
                            </pic:pic>
                          </a:graphicData>
                        </a:graphic>
                      </wp:inline>
                    </w:drawing>
                  </w:r>
                </w:p>
                <w:p w:rsidR="006F63B5" w:rsidRPr="005A6118" w:rsidRDefault="006F63B5" w:rsidP="0011640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116403" w:rsidRDefault="006F63B5" w:rsidP="00116403">
                  <w:pPr>
                    <w:rPr>
                      <w:lang w:val="mk-MK"/>
                    </w:rPr>
                  </w:pPr>
                </w:p>
              </w:txbxContent>
            </v:textbox>
          </v:shape>
        </w:pict>
      </w:r>
      <w:r w:rsidR="00D41027" w:rsidRPr="00B63768">
        <w:rPr>
          <w:rFonts w:cs="Tahoma"/>
          <w:lang w:val="mk-MK"/>
        </w:rPr>
        <w:t xml:space="preserve">Банките очекуваат </w:t>
      </w:r>
      <w:r w:rsidR="00AE50FC">
        <w:rPr>
          <w:rFonts w:cs="Tahoma"/>
          <w:lang w:val="mk-MK"/>
        </w:rPr>
        <w:t xml:space="preserve">дека </w:t>
      </w:r>
      <w:r w:rsidR="00D41027" w:rsidRPr="00B63768">
        <w:rPr>
          <w:rFonts w:cs="Tahoma"/>
          <w:lang w:val="mk-MK"/>
        </w:rPr>
        <w:t>задржување</w:t>
      </w:r>
      <w:r w:rsidR="00AE50FC">
        <w:rPr>
          <w:rFonts w:cs="Tahoma"/>
          <w:lang w:val="mk-MK"/>
        </w:rPr>
        <w:t>то</w:t>
      </w:r>
      <w:r w:rsidR="00D41027" w:rsidRPr="00B63768">
        <w:rPr>
          <w:rFonts w:cs="Tahoma"/>
          <w:lang w:val="mk-MK"/>
        </w:rPr>
        <w:t xml:space="preserve"> на стабилноста на депозитите </w:t>
      </w:r>
      <w:r w:rsidR="00AE50FC">
        <w:rPr>
          <w:rFonts w:cs="Tahoma"/>
          <w:lang w:val="mk-MK"/>
        </w:rPr>
        <w:t>ќе биде нивниот</w:t>
      </w:r>
      <w:r w:rsidR="00AE50FC" w:rsidRPr="00B63768">
        <w:rPr>
          <w:rFonts w:cs="Tahoma"/>
          <w:lang w:val="mk-MK"/>
        </w:rPr>
        <w:t xml:space="preserve"> </w:t>
      </w:r>
      <w:r w:rsidR="00D41027" w:rsidRPr="00B63768">
        <w:rPr>
          <w:rFonts w:cs="Tahoma"/>
          <w:lang w:val="mk-MK"/>
        </w:rPr>
        <w:t>главен извор на финансирање на активности</w:t>
      </w:r>
      <w:r w:rsidR="00AE50FC">
        <w:rPr>
          <w:rFonts w:cs="Tahoma"/>
          <w:lang w:val="mk-MK"/>
        </w:rPr>
        <w:t>те</w:t>
      </w:r>
      <w:r w:rsidR="00D41027" w:rsidRPr="00B63768">
        <w:rPr>
          <w:rFonts w:cs="Tahoma"/>
          <w:lang w:val="mk-MK"/>
        </w:rPr>
        <w:t xml:space="preserve"> (анекс бр. </w:t>
      </w:r>
      <w:r w:rsidR="004812D5" w:rsidRPr="00B63768">
        <w:rPr>
          <w:rFonts w:cs="Tahoma"/>
          <w:lang w:val="mk-MK"/>
        </w:rPr>
        <w:t xml:space="preserve">29). </w:t>
      </w:r>
      <w:r w:rsidR="00D41027" w:rsidRPr="00B63768">
        <w:rPr>
          <w:rFonts w:cs="Tahoma"/>
          <w:lang w:val="mk-MK"/>
        </w:rPr>
        <w:t xml:space="preserve">Ова се потврдува и преку позитивната збирна очекувана разлика меѓу средствата и обврските според очекуваната преостаната рочност, чиешто релативно значење, изразено како процент од </w:t>
      </w:r>
      <w:r w:rsidR="00AE50FC">
        <w:rPr>
          <w:rFonts w:cs="Tahoma"/>
          <w:lang w:val="mk-MK"/>
        </w:rPr>
        <w:t>збир</w:t>
      </w:r>
      <w:r w:rsidR="00AE50FC" w:rsidRPr="00B63768">
        <w:rPr>
          <w:rFonts w:cs="Tahoma"/>
          <w:lang w:val="mk-MK"/>
        </w:rPr>
        <w:t xml:space="preserve">ните </w:t>
      </w:r>
      <w:r w:rsidR="00D41027" w:rsidRPr="00B63768">
        <w:rPr>
          <w:rFonts w:cs="Tahoma"/>
          <w:lang w:val="mk-MK"/>
        </w:rPr>
        <w:t>средства со иста договорна рочност, се зголеми во првиот квартал на 2013 година. Имено, според очекувањата на банките</w:t>
      </w:r>
      <w:r w:rsidR="00AE50FC">
        <w:rPr>
          <w:rFonts w:cs="Tahoma"/>
          <w:lang w:val="mk-MK"/>
        </w:rPr>
        <w:t>,</w:t>
      </w:r>
      <w:r w:rsidR="00D41027" w:rsidRPr="00B63768">
        <w:rPr>
          <w:rFonts w:cs="Tahoma"/>
          <w:lang w:val="mk-MK"/>
        </w:rPr>
        <w:t xml:space="preserve"> 82,3% од депозитите со преостаната рочност до три месеци би требало да </w:t>
      </w:r>
      <w:r w:rsidR="00AE50FC">
        <w:rPr>
          <w:rFonts w:cs="Tahoma"/>
          <w:lang w:val="mk-MK"/>
        </w:rPr>
        <w:t>покажат</w:t>
      </w:r>
      <w:r w:rsidR="00AE50FC" w:rsidRPr="00B63768">
        <w:rPr>
          <w:rFonts w:cs="Tahoma"/>
          <w:lang w:val="mk-MK"/>
        </w:rPr>
        <w:t xml:space="preserve"> </w:t>
      </w:r>
      <w:r w:rsidR="00D41027" w:rsidRPr="00B63768">
        <w:rPr>
          <w:rFonts w:cs="Tahoma"/>
          <w:lang w:val="mk-MK"/>
        </w:rPr>
        <w:t>стабилност</w:t>
      </w:r>
      <w:r w:rsidR="00AE50FC">
        <w:rPr>
          <w:rFonts w:cs="Tahoma"/>
          <w:lang w:val="mk-MK"/>
        </w:rPr>
        <w:t>,</w:t>
      </w:r>
      <w:r w:rsidR="00D41027" w:rsidRPr="00B63768">
        <w:rPr>
          <w:rFonts w:cs="Tahoma"/>
          <w:lang w:val="mk-MK"/>
        </w:rPr>
        <w:t xml:space="preserve"> останувајќи во банките и во следните три месеци, што е речиси идентично ниво како и на крајот од 2012 година. Оваа очекувана стабилност кај орочените депозити изнесува 80,7%, додека кај депозитите по видување </w:t>
      </w:r>
      <w:r w:rsidR="00AE50FC">
        <w:rPr>
          <w:rFonts w:cs="Tahoma"/>
          <w:lang w:val="mk-MK"/>
        </w:rPr>
        <w:t xml:space="preserve">е </w:t>
      </w:r>
      <w:r w:rsidR="00D41027" w:rsidRPr="00B63768">
        <w:rPr>
          <w:rFonts w:cs="Tahoma"/>
          <w:lang w:val="mk-MK"/>
        </w:rPr>
        <w:t>92,5%.</w:t>
      </w:r>
    </w:p>
    <w:p w:rsidR="00D41027" w:rsidRPr="00B63768" w:rsidRDefault="00D41027" w:rsidP="00D41027">
      <w:pPr>
        <w:rPr>
          <w:rFonts w:cs="Tahoma"/>
          <w:highlight w:val="yellow"/>
          <w:lang w:val="mk-MK"/>
        </w:rPr>
      </w:pPr>
    </w:p>
    <w:p w:rsidR="00D41027" w:rsidRPr="00B63768" w:rsidRDefault="00D41027" w:rsidP="00D41027">
      <w:pPr>
        <w:ind w:firstLine="540"/>
        <w:rPr>
          <w:lang w:val="mk-MK"/>
        </w:rPr>
      </w:pPr>
      <w:r w:rsidRPr="00B63768">
        <w:rPr>
          <w:rFonts w:cs="Tahoma"/>
          <w:b/>
          <w:lang w:val="mk-MK"/>
        </w:rPr>
        <w:t>Македонскиот банкарски систем го задржа задоволителното ниво на отпорност на евентуални ликвидносни шокови.</w:t>
      </w:r>
      <w:r w:rsidRPr="00B63768">
        <w:rPr>
          <w:rFonts w:cs="Tahoma"/>
          <w:lang w:val="mk-MK"/>
        </w:rPr>
        <w:t xml:space="preserve"> Нивото на ликвидни средства со кои располага банкарскиот систем е </w:t>
      </w:r>
      <w:r w:rsidR="00AE50FC" w:rsidRPr="00B63768">
        <w:rPr>
          <w:rFonts w:cs="Tahoma"/>
          <w:lang w:val="mk-MK"/>
        </w:rPr>
        <w:t>довол</w:t>
      </w:r>
      <w:r w:rsidR="00AE50FC">
        <w:rPr>
          <w:rFonts w:cs="Tahoma"/>
          <w:lang w:val="mk-MK"/>
        </w:rPr>
        <w:t>но</w:t>
      </w:r>
      <w:r w:rsidR="00AE50FC" w:rsidRPr="00B63768">
        <w:rPr>
          <w:rFonts w:cs="Tahoma"/>
          <w:lang w:val="mk-MK"/>
        </w:rPr>
        <w:t xml:space="preserve"> </w:t>
      </w:r>
      <w:r w:rsidRPr="00B63768">
        <w:rPr>
          <w:rFonts w:cs="Tahoma"/>
          <w:lang w:val="mk-MK"/>
        </w:rPr>
        <w:t>за да се соочи со шокови поврзани со можен одлив на депозитите</w:t>
      </w:r>
      <w:r w:rsidR="00AE50FC">
        <w:rPr>
          <w:rFonts w:cs="Tahoma"/>
          <w:lang w:val="mk-MK"/>
        </w:rPr>
        <w:t>,</w:t>
      </w:r>
      <w:r w:rsidRPr="00B63768">
        <w:rPr>
          <w:rFonts w:cs="Tahoma"/>
          <w:lang w:val="mk-MK"/>
        </w:rPr>
        <w:t xml:space="preserve"> како најважен извор на финансирање. И понатаму банкарскиот систем </w:t>
      </w:r>
      <w:r w:rsidRPr="00B63768">
        <w:rPr>
          <w:rFonts w:cs="Tahoma"/>
          <w:lang w:val="mk-MK"/>
        </w:rPr>
        <w:lastRenderedPageBreak/>
        <w:t>е почу</w:t>
      </w:r>
      <w:r w:rsidR="000C7054" w:rsidRPr="00B63768">
        <w:rPr>
          <w:rFonts w:cs="Tahoma"/>
          <w:lang w:val="mk-MK"/>
        </w:rPr>
        <w:t>в</w:t>
      </w:r>
      <w:r w:rsidRPr="00B63768">
        <w:rPr>
          <w:rFonts w:cs="Tahoma"/>
          <w:lang w:val="mk-MK"/>
        </w:rPr>
        <w:t xml:space="preserve">ствителен на евентуално повлекување на депозитите на </w:t>
      </w:r>
      <w:r w:rsidR="00AE50FC">
        <w:rPr>
          <w:rFonts w:cs="Tahoma"/>
          <w:lang w:val="mk-MK"/>
        </w:rPr>
        <w:t>дваесет</w:t>
      </w:r>
      <w:r w:rsidRPr="00B63768">
        <w:rPr>
          <w:rFonts w:cs="Tahoma"/>
          <w:lang w:val="mk-MK"/>
        </w:rPr>
        <w:t xml:space="preserve">те најголеми депоненти, </w:t>
      </w:r>
      <w:r w:rsidR="00AE50FC">
        <w:rPr>
          <w:rFonts w:cs="Tahoma"/>
          <w:lang w:val="mk-MK"/>
        </w:rPr>
        <w:t xml:space="preserve">во </w:t>
      </w:r>
      <w:r w:rsidR="00AE50FC" w:rsidRPr="00B63768">
        <w:rPr>
          <w:rFonts w:cs="Tahoma"/>
          <w:lang w:val="mk-MK"/>
        </w:rPr>
        <w:t>според</w:t>
      </w:r>
      <w:r w:rsidR="00AE50FC">
        <w:rPr>
          <w:rFonts w:cs="Tahoma"/>
          <w:lang w:val="mk-MK"/>
        </w:rPr>
        <w:t>ба</w:t>
      </w:r>
      <w:r w:rsidR="00AE50FC" w:rsidRPr="00B63768">
        <w:rPr>
          <w:rFonts w:cs="Tahoma"/>
          <w:lang w:val="mk-MK"/>
        </w:rPr>
        <w:t xml:space="preserve"> </w:t>
      </w:r>
      <w:r w:rsidRPr="00B63768">
        <w:rPr>
          <w:rFonts w:cs="Tahoma"/>
          <w:lang w:val="mk-MK"/>
        </w:rPr>
        <w:t>со симулацијата за повлекување на 20% од депозитите на населението, што се должи на присуството на висока концентрација на депозити кај некои од банките. Учеството на ликвидната актива во вкупната актива при овие симулации се намалува од 33,1% на 24,7% (при повлекување на депозити</w:t>
      </w:r>
      <w:r w:rsidR="00AE50FC">
        <w:rPr>
          <w:rFonts w:cs="Tahoma"/>
          <w:lang w:val="mk-MK"/>
        </w:rPr>
        <w:t>те</w:t>
      </w:r>
      <w:r w:rsidRPr="00B63768">
        <w:rPr>
          <w:rFonts w:cs="Tahoma"/>
          <w:lang w:val="mk-MK"/>
        </w:rPr>
        <w:t xml:space="preserve"> на населението) и на 22,3% (при повлекување на депозитите од </w:t>
      </w:r>
      <w:r w:rsidR="00AE50FC">
        <w:rPr>
          <w:rFonts w:cs="Tahoma"/>
          <w:lang w:val="mk-MK"/>
        </w:rPr>
        <w:t>дваесет</w:t>
      </w:r>
      <w:r w:rsidRPr="00B63768">
        <w:rPr>
          <w:rFonts w:cs="Tahoma"/>
          <w:lang w:val="mk-MK"/>
        </w:rPr>
        <w:t>те најголеми депоненти). Покриеноста на краткорочните обврски</w:t>
      </w:r>
      <w:r w:rsidRPr="00B63768">
        <w:rPr>
          <w:rStyle w:val="FootnoteReference"/>
          <w:rFonts w:cs="Tahoma"/>
          <w:lang w:val="mk-MK"/>
        </w:rPr>
        <w:footnoteReference w:id="33"/>
      </w:r>
      <w:r w:rsidRPr="00B63768">
        <w:rPr>
          <w:rFonts w:cs="Tahoma"/>
          <w:lang w:val="mk-MK"/>
        </w:rPr>
        <w:t xml:space="preserve"> при овие симулации се намалува за 11,6 и 15,8 процентни поени, соодветно, додека покриеноста на вкупните депозити со ликвидна актива се намалува за 11,0 и 14,7 процентни поени, соодветно. Стабилноста на македонскиот банкарски систем се потврдува и при с</w:t>
      </w:r>
      <w:r w:rsidRPr="00B63768">
        <w:rPr>
          <w:lang w:val="mk-MK"/>
        </w:rPr>
        <w:t xml:space="preserve">имулацијата којашто опфаќа одлив на изворите на финансирање користени од странските матични лица на домашните банки (освен субординираните и хибридните капитални  инструменти чијшто начин на исплата е посебно регулиран од страна на Народната банка). Намалувањето на ликвидната актива по поединечна банка, во тој случај би се движело во интервал од 0,2% до 54,7%, а на ниво на банкарскиот систем би изнесувало 8,7%. Учеството на ликвидните средства во вкупната актива при оваа симулација би се намалило за 2,8 процентни поени. </w:t>
      </w:r>
    </w:p>
    <w:p w:rsidR="00ED0D0D" w:rsidRPr="00B63768" w:rsidRDefault="00040D2C" w:rsidP="00A57417">
      <w:pPr>
        <w:rPr>
          <w:rFonts w:cs="Tahoma"/>
          <w:lang w:val="mk-MK"/>
        </w:rPr>
      </w:pPr>
      <w:r w:rsidRPr="00040D2C">
        <w:rPr>
          <w:rFonts w:cs="Tahoma"/>
          <w:lang w:val="mk-MK"/>
        </w:rPr>
        <w:pict>
          <v:shape id="_x0000_s1067" type="#_x0000_t202" style="position:absolute;left:0;text-align:left;margin-left:-225.9pt;margin-top:-447pt;width:212.65pt;height:434.75pt;z-index:251706368">
            <v:textbox>
              <w:txbxContent>
                <w:p w:rsidR="006F63B5" w:rsidRDefault="006F63B5" w:rsidP="00116403">
                  <w:pPr>
                    <w:pStyle w:val="Caption"/>
                    <w:rPr>
                      <w:rFonts w:cs="Tahoma"/>
                      <w:szCs w:val="20"/>
                      <w:lang w:val="mk-MK"/>
                    </w:rPr>
                  </w:pPr>
                  <w:r>
                    <w:t xml:space="preserve">Графикон бр. </w:t>
                  </w:r>
                  <w:fldSimple w:instr=" SEQ Графикон_бр. \* ARABIC ">
                    <w:r>
                      <w:rPr>
                        <w:noProof/>
                      </w:rPr>
                      <w:t>43</w:t>
                    </w:r>
                  </w:fldSimple>
                  <w:r>
                    <w:rPr>
                      <w:lang w:val="mk-MK"/>
                    </w:rPr>
                    <w:t xml:space="preserve"> </w:t>
                  </w:r>
                  <w:r w:rsidRPr="00871552">
                    <w:rPr>
                      <w:rFonts w:cs="Tahoma"/>
                      <w:szCs w:val="20"/>
                      <w:lang w:val="mk-MK"/>
                    </w:rPr>
                    <w:t>Резултати од симулацијата за повлекување 20% од депозитите на домаќинствата (горе) и за повлекување на депозитите на дваесетте најголеми депоненти (дол</w:t>
                  </w:r>
                  <w:r>
                    <w:rPr>
                      <w:rFonts w:cs="Tahoma"/>
                      <w:szCs w:val="20"/>
                      <w:lang w:val="mk-MK"/>
                    </w:rPr>
                    <w:t>у</w:t>
                  </w:r>
                  <w:r w:rsidRPr="00871552">
                    <w:rPr>
                      <w:rFonts w:cs="Tahoma"/>
                      <w:szCs w:val="20"/>
                      <w:lang w:val="mk-MK"/>
                    </w:rPr>
                    <w:t xml:space="preserve">) </w:t>
                  </w:r>
                </w:p>
                <w:p w:rsidR="006F63B5" w:rsidRDefault="006F63B5" w:rsidP="00116403">
                  <w:pPr>
                    <w:pStyle w:val="Caption"/>
                    <w:rPr>
                      <w:szCs w:val="20"/>
                      <w:lang w:val="mk-MK"/>
                    </w:rPr>
                  </w:pPr>
                  <w:r w:rsidRPr="00116403">
                    <w:rPr>
                      <w:rFonts w:cs="Tahoma"/>
                      <w:noProof/>
                      <w:szCs w:val="20"/>
                    </w:rPr>
                    <w:drawing>
                      <wp:inline distT="0" distB="0" distL="0" distR="0">
                        <wp:extent cx="2508250" cy="4184513"/>
                        <wp:effectExtent l="19050" t="0" r="635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508250" cy="4184513"/>
                                </a:xfrm>
                                <a:prstGeom prst="rect">
                                  <a:avLst/>
                                </a:prstGeom>
                                <a:noFill/>
                                <a:ln w="9525">
                                  <a:noFill/>
                                  <a:miter lim="800000"/>
                                  <a:headEnd/>
                                  <a:tailEnd/>
                                </a:ln>
                              </pic:spPr>
                            </pic:pic>
                          </a:graphicData>
                        </a:graphic>
                      </wp:inline>
                    </w:drawing>
                  </w:r>
                </w:p>
                <w:p w:rsidR="006F63B5" w:rsidRPr="005A6118" w:rsidRDefault="006F63B5" w:rsidP="00116403">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F63B5" w:rsidRPr="00116403" w:rsidRDefault="006F63B5" w:rsidP="00116403">
                  <w:pPr>
                    <w:pStyle w:val="Caption"/>
                    <w:rPr>
                      <w:lang w:val="mk-MK"/>
                    </w:rPr>
                  </w:pPr>
                  <w:r w:rsidRPr="00055EE1">
                    <w:rPr>
                      <w:szCs w:val="20"/>
                      <w:lang w:val="mk-MK"/>
                    </w:rPr>
                    <w:t xml:space="preserve"> </w:t>
                  </w:r>
                </w:p>
              </w:txbxContent>
            </v:textbox>
          </v:shape>
        </w:pict>
      </w:r>
      <w:bookmarkStart w:id="35" w:name="_Toc309300732"/>
      <w:bookmarkStart w:id="36" w:name="_Toc309887978"/>
      <w:bookmarkStart w:id="37" w:name="_Toc309300733"/>
      <w:bookmarkStart w:id="38" w:name="_Toc309887979"/>
      <w:bookmarkStart w:id="39" w:name="_Toc309300737"/>
      <w:bookmarkStart w:id="40" w:name="_Toc309887983"/>
      <w:bookmarkStart w:id="41" w:name="_Toc296501676"/>
      <w:bookmarkStart w:id="42" w:name="_Toc296501764"/>
      <w:bookmarkStart w:id="43" w:name="_Toc296502424"/>
      <w:bookmarkStart w:id="44" w:name="_Toc296503397"/>
      <w:bookmarkStart w:id="45" w:name="_Toc296503443"/>
      <w:bookmarkStart w:id="46" w:name="_Toc296505750"/>
      <w:bookmarkStart w:id="47" w:name="_Toc309300738"/>
      <w:bookmarkStart w:id="48" w:name="_Toc309887984"/>
      <w:bookmarkStart w:id="49" w:name="_Toc296501677"/>
      <w:bookmarkStart w:id="50" w:name="_Toc296501765"/>
      <w:bookmarkStart w:id="51" w:name="_Toc296502425"/>
      <w:bookmarkStart w:id="52" w:name="_Toc296503398"/>
      <w:bookmarkStart w:id="53" w:name="_Toc296503444"/>
      <w:bookmarkStart w:id="54" w:name="_Toc296505751"/>
      <w:bookmarkStart w:id="55" w:name="_Toc309300739"/>
      <w:bookmarkStart w:id="56" w:name="_Toc309887985"/>
      <w:bookmarkStart w:id="57" w:name="_Toc309300743"/>
      <w:bookmarkStart w:id="58" w:name="_Toc30988798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870F7" w:rsidRPr="00B63768" w:rsidRDefault="00E47221" w:rsidP="003B2315">
      <w:pPr>
        <w:pStyle w:val="Heading2"/>
      </w:pPr>
      <w:bookmarkStart w:id="59" w:name="_Toc362007059"/>
      <w:r w:rsidRPr="00B63768">
        <w:t>Валутен ризик</w:t>
      </w:r>
      <w:bookmarkEnd w:id="59"/>
    </w:p>
    <w:p w:rsidR="003E03E5" w:rsidRPr="00B63768" w:rsidRDefault="003E03E5" w:rsidP="007B3517">
      <w:pPr>
        <w:ind w:left="-4536"/>
        <w:rPr>
          <w:lang w:val="mk-MK"/>
        </w:rPr>
      </w:pPr>
    </w:p>
    <w:p w:rsidR="00BF7D49" w:rsidRPr="00B63768" w:rsidRDefault="00BF7D49" w:rsidP="007B3517">
      <w:pPr>
        <w:ind w:left="-4536" w:firstLine="708"/>
        <w:rPr>
          <w:b/>
          <w:lang w:val="mk-MK"/>
        </w:rPr>
      </w:pPr>
      <w:r w:rsidRPr="00B63768">
        <w:rPr>
          <w:b/>
          <w:lang w:val="mk-MK"/>
        </w:rPr>
        <w:t xml:space="preserve">Во првиот квартал од 2013 година, се намали јазот меѓу активата и пасивата со валутна компонента, при што банките го задржаа ниското ниво на изложеност на валутен ризик. </w:t>
      </w:r>
      <w:r w:rsidR="00D22DB7" w:rsidRPr="00B63768">
        <w:rPr>
          <w:b/>
          <w:lang w:val="mk-MK"/>
        </w:rPr>
        <w:t xml:space="preserve">Сите банки го почитуваат пропишаниот лимит за агрегатна девизна позиција. Еврото и понатаму </w:t>
      </w:r>
      <w:r w:rsidR="00AE50FC">
        <w:rPr>
          <w:b/>
          <w:lang w:val="mk-MK"/>
        </w:rPr>
        <w:t>е</w:t>
      </w:r>
      <w:r w:rsidR="00AE50FC" w:rsidRPr="00B63768">
        <w:rPr>
          <w:b/>
          <w:lang w:val="mk-MK"/>
        </w:rPr>
        <w:t xml:space="preserve"> </w:t>
      </w:r>
      <w:r w:rsidR="00D22DB7" w:rsidRPr="00B63768">
        <w:rPr>
          <w:b/>
          <w:lang w:val="mk-MK"/>
        </w:rPr>
        <w:t>најзастапената валута во активностите на банкарскиот систем и</w:t>
      </w:r>
      <w:r w:rsidR="00973A14" w:rsidRPr="00B63768">
        <w:rPr>
          <w:b/>
          <w:lang w:val="mk-MK"/>
        </w:rPr>
        <w:t xml:space="preserve"> е</w:t>
      </w:r>
      <w:r w:rsidR="00D22DB7" w:rsidRPr="00B63768">
        <w:rPr>
          <w:b/>
          <w:lang w:val="mk-MK"/>
        </w:rPr>
        <w:t xml:space="preserve"> главен двигател на намалувањето на јазот меѓу активата и пасивата со валутна компонента во првиот квартал од оваа година.   </w:t>
      </w:r>
    </w:p>
    <w:p w:rsidR="00BF7D49" w:rsidRPr="00B63768" w:rsidRDefault="00040D2C" w:rsidP="00BF7D49">
      <w:pPr>
        <w:rPr>
          <w:rFonts w:cs="Tahoma"/>
          <w:b/>
          <w:lang w:val="mk-MK"/>
        </w:rPr>
      </w:pPr>
      <w:r w:rsidRPr="00040D2C">
        <w:rPr>
          <w:rFonts w:cs="Tahoma"/>
          <w:lang w:val="mk-MK"/>
        </w:rPr>
        <w:lastRenderedPageBreak/>
        <w:pict>
          <v:shape id="_x0000_s1082" type="#_x0000_t202" style="position:absolute;left:0;text-align:left;margin-left:-226.3pt;margin-top:-7.35pt;width:471.6pt;height:188.5pt;z-index:251721728" strokecolor="black [3213]">
            <v:textbox style="mso-next-textbox:#_x0000_s1082">
              <w:txbxContent>
                <w:p w:rsidR="006F63B5" w:rsidRPr="00697C59" w:rsidRDefault="006F63B5" w:rsidP="00BF7D49">
                  <w:pPr>
                    <w:pStyle w:val="Caption"/>
                  </w:pPr>
                  <w:r>
                    <w:t xml:space="preserve">Графикон бр. </w:t>
                  </w:r>
                  <w:fldSimple w:instr=" SEQ Графикон_бр. \* ARABIC ">
                    <w:r w:rsidR="0069066F">
                      <w:rPr>
                        <w:noProof/>
                      </w:rPr>
                      <w:t>44</w:t>
                    </w:r>
                  </w:fldSimple>
                  <w:r>
                    <w:rPr>
                      <w:lang w:val="mk-MK"/>
                    </w:rPr>
                    <w:t xml:space="preserve"> Квартална апсолутна</w:t>
                  </w:r>
                  <w:r>
                    <w:t xml:space="preserve"> (</w:t>
                  </w:r>
                  <w:r>
                    <w:rPr>
                      <w:lang w:val="mk-MK"/>
                    </w:rPr>
                    <w:t>лево) и процентуална (средина) промена и годишна (десно) промена на активата и пасивата со валутна компонента</w:t>
                  </w:r>
                </w:p>
                <w:p w:rsidR="006F63B5" w:rsidRPr="00A72927" w:rsidRDefault="006F63B5" w:rsidP="00BF7D49">
                  <w:pPr>
                    <w:pStyle w:val="Caption"/>
                    <w:rPr>
                      <w:b w:val="0"/>
                      <w:sz w:val="18"/>
                      <w:szCs w:val="18"/>
                      <w:lang w:val="mk-MK"/>
                    </w:rPr>
                  </w:pPr>
                  <w:r w:rsidRPr="00BE41F7">
                    <w:rPr>
                      <w:noProof/>
                      <w:szCs w:val="18"/>
                    </w:rPr>
                    <w:drawing>
                      <wp:inline distT="0" distB="0" distL="0" distR="0">
                        <wp:extent cx="5607050" cy="1852903"/>
                        <wp:effectExtent l="19050" t="0" r="0" b="0"/>
                        <wp:docPr id="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5611031" cy="1854219"/>
                                </a:xfrm>
                                <a:prstGeom prst="rect">
                                  <a:avLst/>
                                </a:prstGeom>
                                <a:noFill/>
                                <a:ln w="9525">
                                  <a:noFill/>
                                  <a:miter lim="800000"/>
                                  <a:headEnd/>
                                  <a:tailEnd/>
                                </a:ln>
                              </pic:spPr>
                            </pic:pic>
                          </a:graphicData>
                        </a:graphic>
                      </wp:inline>
                    </w:drawing>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C17996" w:rsidRDefault="006F63B5" w:rsidP="00BF7D49"/>
                <w:p w:rsidR="006F63B5" w:rsidRDefault="006F63B5" w:rsidP="00BF7D49"/>
                <w:p w:rsidR="006F63B5" w:rsidRPr="00EE26CC" w:rsidRDefault="006F63B5" w:rsidP="00BF7D49"/>
                <w:p w:rsidR="006F63B5" w:rsidRDefault="006F63B5" w:rsidP="00BF7D49">
                  <w:pPr>
                    <w:pStyle w:val="Caption"/>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Pr="008476D5" w:rsidRDefault="006F63B5" w:rsidP="00BF7D49">
                  <w:pPr>
                    <w:rPr>
                      <w:sz w:val="20"/>
                      <w:szCs w:val="20"/>
                      <w:lang w:val="mk-MK"/>
                    </w:rPr>
                  </w:pPr>
                  <w:r w:rsidRPr="008476D5">
                    <w:rPr>
                      <w:sz w:val="20"/>
                      <w:szCs w:val="20"/>
                      <w:lang w:val="mk-MK"/>
                    </w:rPr>
                    <w:t>Извор:</w:t>
                  </w:r>
                </w:p>
              </w:txbxContent>
            </v:textbox>
            <w10:wrap type="square"/>
          </v:shape>
        </w:pict>
      </w:r>
      <w:r w:rsidRPr="00040D2C">
        <w:rPr>
          <w:lang w:val="mk-MK"/>
        </w:rPr>
        <w:pict>
          <v:shape id="_x0000_s1081" type="#_x0000_t202" style="position:absolute;left:0;text-align:left;margin-left:-225.2pt;margin-top:184.15pt;width:199.8pt;height:181.5pt;z-index:251720704" strokecolor="black [3213]">
            <v:textbox style="mso-next-textbox:#_x0000_s1081">
              <w:txbxContent>
                <w:p w:rsidR="006F63B5" w:rsidRPr="00712981" w:rsidRDefault="006F63B5" w:rsidP="00BF7D49">
                  <w:pPr>
                    <w:pStyle w:val="Caption"/>
                    <w:rPr>
                      <w:lang w:val="mk-MK"/>
                    </w:rPr>
                  </w:pPr>
                  <w:r>
                    <w:t xml:space="preserve">Графикон бр. </w:t>
                  </w:r>
                  <w:fldSimple w:instr=" SEQ Графикон_бр. \* ARABIC ">
                    <w:r w:rsidR="00872131">
                      <w:rPr>
                        <w:noProof/>
                      </w:rPr>
                      <w:t>45</w:t>
                    </w:r>
                  </w:fldSimple>
                  <w:r>
                    <w:rPr>
                      <w:lang w:val="mk-MK"/>
                    </w:rPr>
                    <w:t xml:space="preserve"> Учество на јазот меѓу активата и пасивата со валутна компонента во сопствените средства на банките</w:t>
                  </w:r>
                  <w:r w:rsidRPr="00712981">
                    <w:rPr>
                      <w:b w:val="0"/>
                      <w:lang w:val="mk-MK"/>
                    </w:rPr>
                    <w:t xml:space="preserve"> </w:t>
                  </w:r>
                </w:p>
                <w:p w:rsidR="006F63B5" w:rsidRPr="00A72927" w:rsidRDefault="006F63B5" w:rsidP="00BF7D49">
                  <w:pPr>
                    <w:pStyle w:val="Caption"/>
                    <w:rPr>
                      <w:b w:val="0"/>
                      <w:sz w:val="18"/>
                      <w:szCs w:val="18"/>
                      <w:lang w:val="mk-MK"/>
                    </w:rPr>
                  </w:pPr>
                  <w:r w:rsidRPr="00952B6A">
                    <w:rPr>
                      <w:noProof/>
                      <w:szCs w:val="18"/>
                    </w:rPr>
                    <w:drawing>
                      <wp:inline distT="0" distB="0" distL="0" distR="0">
                        <wp:extent cx="2159000" cy="1339850"/>
                        <wp:effectExtent l="19050" t="0" r="0" b="0"/>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2164615" cy="1343335"/>
                                </a:xfrm>
                                <a:prstGeom prst="rect">
                                  <a:avLst/>
                                </a:prstGeom>
                                <a:noFill/>
                                <a:ln w="9525">
                                  <a:noFill/>
                                  <a:miter lim="800000"/>
                                  <a:headEnd/>
                                  <a:tailEnd/>
                                </a:ln>
                              </pic:spPr>
                            </pic:pic>
                          </a:graphicData>
                        </a:graphic>
                      </wp:inline>
                    </w:drawing>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BF7D49">
                  <w:pPr>
                    <w:rPr>
                      <w:lang w:val="mk-MK"/>
                    </w:rPr>
                  </w:pPr>
                </w:p>
                <w:p w:rsidR="006F63B5" w:rsidRPr="00303B89" w:rsidRDefault="006F63B5" w:rsidP="00BF7D49">
                  <w:pPr>
                    <w:rPr>
                      <w:lang w:val="mk-MK"/>
                    </w:rPr>
                  </w:pPr>
                </w:p>
                <w:p w:rsidR="006F63B5" w:rsidRPr="00303B89" w:rsidRDefault="006F63B5" w:rsidP="00BF7D49">
                  <w:pPr>
                    <w:rPr>
                      <w:lang w:val="mk-MK"/>
                    </w:rPr>
                  </w:pPr>
                </w:p>
                <w:p w:rsidR="006F63B5" w:rsidRDefault="006F63B5" w:rsidP="00BF7D49">
                  <w:pPr>
                    <w:pStyle w:val="Caption"/>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Pr="008476D5" w:rsidRDefault="006F63B5" w:rsidP="00BF7D49">
                  <w:pPr>
                    <w:rPr>
                      <w:sz w:val="20"/>
                      <w:szCs w:val="20"/>
                      <w:lang w:val="mk-MK"/>
                    </w:rPr>
                  </w:pPr>
                  <w:r w:rsidRPr="008476D5">
                    <w:rPr>
                      <w:sz w:val="20"/>
                      <w:szCs w:val="20"/>
                      <w:lang w:val="mk-MK"/>
                    </w:rPr>
                    <w:t>Извор:</w:t>
                  </w:r>
                </w:p>
              </w:txbxContent>
            </v:textbox>
            <w10:wrap type="square"/>
          </v:shape>
        </w:pict>
      </w:r>
    </w:p>
    <w:p w:rsidR="00BF7D49" w:rsidRPr="00B63768" w:rsidRDefault="00B477BF" w:rsidP="00BF7D49">
      <w:pPr>
        <w:ind w:firstLine="720"/>
        <w:rPr>
          <w:rFonts w:cs="Tahoma"/>
          <w:b/>
          <w:lang w:val="mk-MK"/>
        </w:rPr>
      </w:pPr>
      <w:r w:rsidRPr="00F74D0C">
        <w:rPr>
          <w:rFonts w:cs="Tahoma"/>
          <w:b/>
          <w:lang w:val="mk-MK"/>
        </w:rPr>
        <w:t>Jазот меѓу активата и пасивата со валутна компонента</w:t>
      </w:r>
      <w:r w:rsidRPr="00F74D0C">
        <w:rPr>
          <w:rStyle w:val="FootnoteReference"/>
          <w:rFonts w:cs="Tahoma"/>
          <w:b/>
          <w:lang w:val="mk-MK"/>
        </w:rPr>
        <w:footnoteReference w:id="34"/>
      </w:r>
      <w:r w:rsidR="003871F7" w:rsidRPr="003871F7">
        <w:rPr>
          <w:rFonts w:cs="Tahoma"/>
          <w:b/>
          <w:lang w:val="mk-MK"/>
        </w:rPr>
        <w:t xml:space="preserve"> се намали за 2.435 милиони денари</w:t>
      </w:r>
      <w:r w:rsidR="00F74D0C">
        <w:rPr>
          <w:rFonts w:cs="Tahoma"/>
          <w:b/>
          <w:lang w:val="mk-MK"/>
        </w:rPr>
        <w:t>,</w:t>
      </w:r>
      <w:r w:rsidR="003871F7" w:rsidRPr="003871F7">
        <w:rPr>
          <w:rFonts w:cs="Tahoma"/>
          <w:b/>
          <w:lang w:val="mk-MK"/>
        </w:rPr>
        <w:t xml:space="preserve"> или за 49,8% и на крајот на првиот квартал од 2013 година изнесуваше 2.456 милиони денари. </w:t>
      </w:r>
      <w:r w:rsidR="003871F7" w:rsidRPr="003871F7">
        <w:rPr>
          <w:rFonts w:cs="Tahoma"/>
          <w:lang w:val="mk-MK"/>
        </w:rPr>
        <w:t xml:space="preserve">Со ова намалување на јазот, се намали и неговото учество во сопствените средства на банките, односно се намали изложеноста на банките на валутен ризик. Намалувањето произлегува пред </w:t>
      </w:r>
      <w:r w:rsidR="003871F7" w:rsidRPr="003871F7">
        <w:rPr>
          <w:lang w:val="mk-MK"/>
        </w:rPr>
        <w:t>сѐ</w:t>
      </w:r>
      <w:r w:rsidR="003871F7" w:rsidRPr="003871F7">
        <w:rPr>
          <w:rFonts w:cs="Tahoma"/>
          <w:lang w:val="mk-MK"/>
        </w:rPr>
        <w:t xml:space="preserve"> од активата со валутна компонента којашто се намали за 1.709 милиони денари</w:t>
      </w:r>
      <w:r w:rsidR="00F74D0C">
        <w:rPr>
          <w:rFonts w:cs="Tahoma"/>
          <w:lang w:val="mk-MK"/>
        </w:rPr>
        <w:t>,</w:t>
      </w:r>
      <w:r w:rsidR="003871F7" w:rsidRPr="003871F7">
        <w:rPr>
          <w:rFonts w:cs="Tahoma"/>
          <w:lang w:val="mk-MK"/>
        </w:rPr>
        <w:t xml:space="preserve"> или за 1,0%</w:t>
      </w:r>
      <w:r w:rsidRPr="00F74D0C">
        <w:rPr>
          <w:rStyle w:val="FootnoteReference"/>
          <w:rFonts w:cs="Tahoma"/>
          <w:lang w:val="mk-MK"/>
        </w:rPr>
        <w:footnoteReference w:id="35"/>
      </w:r>
      <w:r w:rsidR="003871F7" w:rsidRPr="003871F7">
        <w:rPr>
          <w:rFonts w:cs="Tahoma"/>
          <w:lang w:val="mk-MK"/>
        </w:rPr>
        <w:t>.</w:t>
      </w:r>
      <w:r w:rsidR="00BF7D49" w:rsidRPr="00B63768">
        <w:rPr>
          <w:rFonts w:cs="Tahoma"/>
          <w:lang w:val="mk-MK"/>
        </w:rPr>
        <w:t xml:space="preserve">     </w:t>
      </w:r>
    </w:p>
    <w:p w:rsidR="00BF7D49" w:rsidRPr="00B63768" w:rsidRDefault="00BF7D49" w:rsidP="00BF7D49">
      <w:pPr>
        <w:ind w:firstLine="720"/>
        <w:rPr>
          <w:rFonts w:cs="Tahoma"/>
          <w:lang w:val="mk-MK"/>
        </w:rPr>
      </w:pPr>
    </w:p>
    <w:p w:rsidR="00BF7D49" w:rsidRPr="00B63768" w:rsidRDefault="00040D2C" w:rsidP="00BF7D49">
      <w:pPr>
        <w:ind w:firstLine="720"/>
        <w:rPr>
          <w:rFonts w:cs="Tahoma"/>
          <w:lang w:val="mk-MK"/>
        </w:rPr>
      </w:pPr>
      <w:r w:rsidRPr="00040D2C">
        <w:rPr>
          <w:rFonts w:cs="Tahoma"/>
          <w:lang w:val="mk-MK"/>
        </w:rPr>
        <w:pict>
          <v:shape id="_x0000_s1080" type="#_x0000_t202" style="position:absolute;left:0;text-align:left;margin-left:-225.2pt;margin-top:2.5pt;width:199.7pt;height:172pt;z-index:251719680" strokecolor="black [3213]">
            <v:textbox style="mso-next-textbox:#_x0000_s1080">
              <w:txbxContent>
                <w:p w:rsidR="006F63B5" w:rsidRPr="00712981" w:rsidRDefault="006F63B5" w:rsidP="00BF7D49">
                  <w:pPr>
                    <w:pStyle w:val="Caption"/>
                    <w:rPr>
                      <w:lang w:val="mk-MK"/>
                    </w:rPr>
                  </w:pPr>
                  <w:r>
                    <w:t xml:space="preserve">Графикон бр. </w:t>
                  </w:r>
                  <w:fldSimple w:instr=" SEQ Графикон_бр. \* ARABIC ">
                    <w:r w:rsidR="00872131">
                      <w:rPr>
                        <w:noProof/>
                      </w:rPr>
                      <w:t>46</w:t>
                    </w:r>
                  </w:fldSimple>
                  <w:r>
                    <w:rPr>
                      <w:lang w:val="mk-MK"/>
                    </w:rPr>
                    <w:t xml:space="preserve"> Структура на јазот меѓу активата и пасивата со валутна компонента</w:t>
                  </w:r>
                  <w:r w:rsidRPr="00712981">
                    <w:rPr>
                      <w:b w:val="0"/>
                      <w:lang w:val="mk-MK"/>
                    </w:rPr>
                    <w:t xml:space="preserve"> </w:t>
                  </w:r>
                </w:p>
                <w:p w:rsidR="006F63B5" w:rsidRPr="00A72927" w:rsidRDefault="006F63B5" w:rsidP="00BF7D49">
                  <w:pPr>
                    <w:pStyle w:val="Caption"/>
                    <w:rPr>
                      <w:b w:val="0"/>
                      <w:sz w:val="18"/>
                      <w:szCs w:val="18"/>
                      <w:lang w:val="mk-MK"/>
                    </w:rPr>
                  </w:pPr>
                  <w:r w:rsidRPr="00952B6A">
                    <w:rPr>
                      <w:noProof/>
                      <w:szCs w:val="18"/>
                    </w:rPr>
                    <w:drawing>
                      <wp:inline distT="0" distB="0" distL="0" distR="0">
                        <wp:extent cx="2260600" cy="1365250"/>
                        <wp:effectExtent l="19050" t="0" r="6350" b="0"/>
                        <wp:docPr id="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2263823" cy="1367197"/>
                                </a:xfrm>
                                <a:prstGeom prst="rect">
                                  <a:avLst/>
                                </a:prstGeom>
                                <a:noFill/>
                                <a:ln w="9525">
                                  <a:noFill/>
                                  <a:miter lim="800000"/>
                                  <a:headEnd/>
                                  <a:tailEnd/>
                                </a:ln>
                              </pic:spPr>
                            </pic:pic>
                          </a:graphicData>
                        </a:graphic>
                      </wp:inline>
                    </w:drawing>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BF7D49">
                  <w:pPr>
                    <w:rPr>
                      <w:lang w:val="mk-MK"/>
                    </w:rPr>
                  </w:pPr>
                </w:p>
                <w:p w:rsidR="006F63B5" w:rsidRPr="00303B89" w:rsidRDefault="006F63B5" w:rsidP="00BF7D49">
                  <w:pPr>
                    <w:rPr>
                      <w:lang w:val="mk-MK"/>
                    </w:rPr>
                  </w:pPr>
                </w:p>
                <w:p w:rsidR="006F63B5" w:rsidRPr="00303B89" w:rsidRDefault="006F63B5" w:rsidP="00BF7D49">
                  <w:pPr>
                    <w:rPr>
                      <w:lang w:val="mk-MK"/>
                    </w:rPr>
                  </w:pPr>
                </w:p>
                <w:p w:rsidR="006F63B5" w:rsidRDefault="006F63B5" w:rsidP="00BF7D49">
                  <w:pPr>
                    <w:pStyle w:val="Caption"/>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Pr="008476D5" w:rsidRDefault="006F63B5" w:rsidP="00BF7D49">
                  <w:pPr>
                    <w:rPr>
                      <w:sz w:val="20"/>
                      <w:szCs w:val="20"/>
                      <w:lang w:val="mk-MK"/>
                    </w:rPr>
                  </w:pPr>
                  <w:r w:rsidRPr="008476D5">
                    <w:rPr>
                      <w:sz w:val="20"/>
                      <w:szCs w:val="20"/>
                      <w:lang w:val="mk-MK"/>
                    </w:rPr>
                    <w:t>Извор:</w:t>
                  </w:r>
                </w:p>
              </w:txbxContent>
            </v:textbox>
            <w10:wrap type="square"/>
          </v:shape>
        </w:pict>
      </w:r>
      <w:r w:rsidR="00BF7D49" w:rsidRPr="00B63768">
        <w:rPr>
          <w:rFonts w:cs="Tahoma"/>
          <w:lang w:val="mk-MK"/>
        </w:rPr>
        <w:t>Од друга стана, пасивата со валутна компонента се зголеми за 726 милиони денари најмногу како резултат на растот на обврските врз основа на тековните сметки и другите краткорочни обврски во странска валута</w:t>
      </w:r>
      <w:r w:rsidR="00973A14" w:rsidRPr="00B63768">
        <w:rPr>
          <w:rFonts w:cs="Tahoma"/>
          <w:lang w:val="mk-MK"/>
        </w:rPr>
        <w:t>.</w:t>
      </w:r>
      <w:r w:rsidR="00BF7D49" w:rsidRPr="00B63768">
        <w:rPr>
          <w:rFonts w:cs="Tahoma"/>
          <w:lang w:val="mk-MK"/>
        </w:rPr>
        <w:t xml:space="preserve"> </w:t>
      </w:r>
    </w:p>
    <w:p w:rsidR="00973A14" w:rsidRPr="00B63768" w:rsidRDefault="00973A14" w:rsidP="00BF7D49">
      <w:pPr>
        <w:rPr>
          <w:rFonts w:cs="Tahoma"/>
          <w:lang w:val="mk-MK"/>
        </w:rPr>
      </w:pPr>
    </w:p>
    <w:p w:rsidR="006D6DFA" w:rsidRPr="00B63768" w:rsidRDefault="006D6DFA" w:rsidP="006D6DFA">
      <w:pPr>
        <w:ind w:firstLine="720"/>
        <w:rPr>
          <w:rFonts w:cs="Tahoma"/>
          <w:lang w:val="mk-MK"/>
        </w:rPr>
      </w:pPr>
      <w:r w:rsidRPr="00B63768">
        <w:rPr>
          <w:rFonts w:cs="Tahoma"/>
          <w:b/>
          <w:lang w:val="mk-MK"/>
        </w:rPr>
        <w:t>На 31.3.2013 година, негативниот јаз меѓу активата и пасивата во странска валута и позитивниот јаз меѓу активата и пасивата во денари со девизна клаузула се зголемија</w:t>
      </w:r>
      <w:r w:rsidR="003871F7" w:rsidRPr="003871F7">
        <w:rPr>
          <w:rFonts w:cs="Tahoma"/>
          <w:lang w:val="mk-MK"/>
        </w:rPr>
        <w:t>,</w:t>
      </w:r>
      <w:r w:rsidRPr="00B63768">
        <w:rPr>
          <w:rFonts w:cs="Tahoma"/>
          <w:lang w:val="mk-MK"/>
        </w:rPr>
        <w:t xml:space="preserve"> и тоа за 3.892 </w:t>
      </w:r>
      <w:r w:rsidR="00F74D0C" w:rsidRPr="00B63768">
        <w:rPr>
          <w:rFonts w:cs="Tahoma"/>
          <w:lang w:val="mk-MK"/>
        </w:rPr>
        <w:t>милион</w:t>
      </w:r>
      <w:r w:rsidR="00F74D0C">
        <w:rPr>
          <w:rFonts w:cs="Tahoma"/>
          <w:lang w:val="mk-MK"/>
        </w:rPr>
        <w:t>а</w:t>
      </w:r>
      <w:r w:rsidR="00F74D0C" w:rsidRPr="00B63768">
        <w:rPr>
          <w:rFonts w:cs="Tahoma"/>
          <w:lang w:val="mk-MK"/>
        </w:rPr>
        <w:t xml:space="preserve"> </w:t>
      </w:r>
      <w:r w:rsidRPr="00B63768">
        <w:rPr>
          <w:rFonts w:cs="Tahoma"/>
          <w:lang w:val="mk-MK"/>
        </w:rPr>
        <w:t>денари</w:t>
      </w:r>
      <w:r w:rsidRPr="00B63768">
        <w:rPr>
          <w:rStyle w:val="FootnoteReference"/>
          <w:rFonts w:cs="Tahoma"/>
          <w:lang w:val="mk-MK"/>
        </w:rPr>
        <w:footnoteReference w:id="36"/>
      </w:r>
      <w:r w:rsidRPr="00B63768">
        <w:rPr>
          <w:rFonts w:cs="Tahoma"/>
          <w:lang w:val="mk-MK"/>
        </w:rPr>
        <w:t xml:space="preserve"> и 1.457 милиони денари</w:t>
      </w:r>
      <w:r w:rsidRPr="00B63768">
        <w:rPr>
          <w:rStyle w:val="FootnoteReference"/>
          <w:rFonts w:cs="Tahoma"/>
          <w:lang w:val="mk-MK"/>
        </w:rPr>
        <w:footnoteReference w:id="37"/>
      </w:r>
      <w:r w:rsidRPr="00B63768">
        <w:rPr>
          <w:rFonts w:cs="Tahoma"/>
          <w:lang w:val="mk-MK"/>
        </w:rPr>
        <w:t xml:space="preserve">, соодветно.  </w:t>
      </w:r>
    </w:p>
    <w:p w:rsidR="006D6DFA" w:rsidRPr="00B63768" w:rsidRDefault="00040D2C" w:rsidP="00BF7D49">
      <w:pPr>
        <w:ind w:firstLine="720"/>
        <w:rPr>
          <w:rFonts w:cs="Tahoma"/>
          <w:b/>
          <w:lang w:val="mk-MK"/>
        </w:rPr>
      </w:pPr>
      <w:r w:rsidRPr="00040D2C">
        <w:rPr>
          <w:rFonts w:cs="Tahoma"/>
          <w:lang w:val="mk-MK"/>
        </w:rPr>
        <w:lastRenderedPageBreak/>
        <w:pict>
          <v:shape id="_x0000_s1095" type="#_x0000_t202" style="position:absolute;left:0;text-align:left;margin-left:-223.4pt;margin-top:144.6pt;width:208.5pt;height:219.25pt;z-index:251730944" strokecolor="black [3213]">
            <v:textbox style="mso-next-textbox:#_x0000_s1095">
              <w:txbxContent>
                <w:p w:rsidR="006F63B5" w:rsidRDefault="006F63B5" w:rsidP="008E6D94">
                  <w:pPr>
                    <w:pStyle w:val="Caption"/>
                    <w:rPr>
                      <w:lang w:val="mk-MK"/>
                    </w:rPr>
                  </w:pPr>
                  <w:r>
                    <w:t xml:space="preserve">Графикон бр. </w:t>
                  </w:r>
                  <w:fldSimple w:instr=" SEQ Графикон_бр. \* ARABIC ">
                    <w:r>
                      <w:rPr>
                        <w:noProof/>
                      </w:rPr>
                      <w:t>47</w:t>
                    </w:r>
                  </w:fldSimple>
                  <w:r w:rsidRPr="00963497">
                    <w:rPr>
                      <w:lang w:val="mk-MK"/>
                    </w:rPr>
                    <w:t xml:space="preserve"> </w:t>
                  </w:r>
                  <w:r>
                    <w:rPr>
                      <w:lang w:val="mk-MK"/>
                    </w:rPr>
                    <w:t>Динамика на јазот меѓу активата и пасивата со валутна компонента, по валути</w:t>
                  </w:r>
                </w:p>
                <w:p w:rsidR="006F63B5" w:rsidRPr="00A72927" w:rsidRDefault="006F63B5" w:rsidP="008E6D94">
                  <w:pPr>
                    <w:pStyle w:val="Caption"/>
                    <w:rPr>
                      <w:b w:val="0"/>
                      <w:sz w:val="18"/>
                      <w:szCs w:val="18"/>
                      <w:lang w:val="mk-MK"/>
                    </w:rPr>
                  </w:pPr>
                  <w:r w:rsidRPr="004C59EA">
                    <w:rPr>
                      <w:noProof/>
                      <w:szCs w:val="18"/>
                    </w:rPr>
                    <w:drawing>
                      <wp:inline distT="0" distB="0" distL="0" distR="0">
                        <wp:extent cx="2445550" cy="195602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2455545" cy="1964014"/>
                                </a:xfrm>
                                <a:prstGeom prst="rect">
                                  <a:avLst/>
                                </a:prstGeom>
                                <a:noFill/>
                                <a:ln w="9525">
                                  <a:noFill/>
                                  <a:miter lim="800000"/>
                                  <a:headEnd/>
                                  <a:tailEnd/>
                                </a:ln>
                              </pic:spPr>
                            </pic:pic>
                          </a:graphicData>
                        </a:graphic>
                      </wp:inline>
                    </w:drawing>
                  </w:r>
                  <w:r w:rsidRPr="00D22DB7">
                    <w:rPr>
                      <w:szCs w:val="18"/>
                      <w:lang w:val="mk-MK"/>
                    </w:rPr>
                    <w:t xml:space="preserve"> </w:t>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8E6D94">
                  <w:pPr>
                    <w:rPr>
                      <w:lang w:val="mk-MK"/>
                    </w:rPr>
                  </w:pPr>
                </w:p>
                <w:p w:rsidR="006F63B5" w:rsidRPr="00303B89" w:rsidRDefault="006F63B5" w:rsidP="008E6D94">
                  <w:pPr>
                    <w:rPr>
                      <w:lang w:val="mk-MK"/>
                    </w:rPr>
                  </w:pPr>
                </w:p>
                <w:p w:rsidR="006F63B5" w:rsidRPr="00303B89" w:rsidRDefault="006F63B5" w:rsidP="008E6D94">
                  <w:pPr>
                    <w:rPr>
                      <w:lang w:val="mk-MK"/>
                    </w:rPr>
                  </w:pPr>
                </w:p>
                <w:p w:rsidR="006F63B5" w:rsidRDefault="006F63B5" w:rsidP="008E6D94">
                  <w:pPr>
                    <w:pStyle w:val="Caption"/>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Default="006F63B5" w:rsidP="008E6D94">
                  <w:pPr>
                    <w:rPr>
                      <w:lang w:val="mk-MK"/>
                    </w:rPr>
                  </w:pPr>
                </w:p>
                <w:p w:rsidR="006F63B5" w:rsidRPr="008476D5" w:rsidRDefault="006F63B5" w:rsidP="008E6D94">
                  <w:pPr>
                    <w:rPr>
                      <w:sz w:val="20"/>
                      <w:szCs w:val="20"/>
                      <w:lang w:val="mk-MK"/>
                    </w:rPr>
                  </w:pPr>
                  <w:r w:rsidRPr="008476D5">
                    <w:rPr>
                      <w:sz w:val="20"/>
                      <w:szCs w:val="20"/>
                      <w:lang w:val="mk-MK"/>
                    </w:rPr>
                    <w:t>Извор:</w:t>
                  </w:r>
                </w:p>
              </w:txbxContent>
            </v:textbox>
            <w10:wrap type="square"/>
          </v:shape>
        </w:pict>
      </w:r>
      <w:r w:rsidRPr="00040D2C">
        <w:rPr>
          <w:rFonts w:cs="Tahoma"/>
          <w:lang w:val="mk-MK"/>
        </w:rPr>
        <w:pict>
          <v:shape id="_x0000_s1140" type="#_x0000_t202" style="position:absolute;left:0;text-align:left;margin-left:-223.4pt;margin-top:-9.9pt;width:453.65pt;height:148.2pt;z-index:251763712" strokecolor="black [3213]">
            <v:textbox style="mso-next-textbox:#_x0000_s1140">
              <w:txbxContent>
                <w:p w:rsidR="006F63B5" w:rsidRPr="00C31A5C" w:rsidRDefault="006F63B5" w:rsidP="006D6DFA">
                  <w:pPr>
                    <w:pStyle w:val="Caption"/>
                    <w:rPr>
                      <w:rFonts w:cs="Tahoma"/>
                    </w:rPr>
                  </w:pPr>
                  <w:r>
                    <w:t xml:space="preserve">Табела бр.  </w:t>
                  </w:r>
                  <w:fldSimple w:instr=" SEQ Табела_бр._ \* ARABIC ">
                    <w:r>
                      <w:rPr>
                        <w:noProof/>
                      </w:rPr>
                      <w:t>3</w:t>
                    </w:r>
                  </w:fldSimple>
                  <w:r>
                    <w:rPr>
                      <w:lang w:val="mk-MK"/>
                    </w:rPr>
                    <w:t xml:space="preserve"> Учество на </w:t>
                  </w:r>
                  <w:r>
                    <w:rPr>
                      <w:rFonts w:cs="Tahoma"/>
                      <w:lang w:val="mk-MK"/>
                    </w:rPr>
                    <w:t>активата и пасивата со валутна компонента во вкупната актива</w:t>
                  </w:r>
                </w:p>
                <w:p w:rsidR="006F63B5" w:rsidRDefault="006F63B5" w:rsidP="006D6DFA">
                  <w:pPr>
                    <w:pStyle w:val="Caption"/>
                    <w:rPr>
                      <w:szCs w:val="18"/>
                    </w:rPr>
                  </w:pPr>
                  <w:r w:rsidRPr="0073660C">
                    <w:rPr>
                      <w:noProof/>
                      <w:szCs w:val="18"/>
                    </w:rPr>
                    <w:drawing>
                      <wp:inline distT="0" distB="0" distL="0" distR="0">
                        <wp:extent cx="5543550" cy="1333500"/>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5588759" cy="1344375"/>
                                </a:xfrm>
                                <a:prstGeom prst="rect">
                                  <a:avLst/>
                                </a:prstGeom>
                                <a:noFill/>
                                <a:ln w="9525">
                                  <a:noFill/>
                                  <a:miter lim="800000"/>
                                  <a:headEnd/>
                                  <a:tailEnd/>
                                </a:ln>
                              </pic:spPr>
                            </pic:pic>
                          </a:graphicData>
                        </a:graphic>
                      </wp:inline>
                    </w:drawing>
                  </w:r>
                  <w:r w:rsidRPr="0073660C">
                    <w:rPr>
                      <w:szCs w:val="18"/>
                    </w:rPr>
                    <w:t xml:space="preserve"> </w:t>
                  </w:r>
                </w:p>
                <w:p w:rsidR="006F63B5" w:rsidRPr="00A72927" w:rsidRDefault="006F63B5" w:rsidP="006D6DFA">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C17996" w:rsidRDefault="006F63B5" w:rsidP="006D6DFA"/>
                <w:p w:rsidR="006F63B5" w:rsidRDefault="006F63B5" w:rsidP="006D6DFA"/>
                <w:p w:rsidR="006F63B5" w:rsidRPr="00EE26CC" w:rsidRDefault="006F63B5" w:rsidP="006D6DFA"/>
                <w:p w:rsidR="006F63B5" w:rsidRDefault="006F63B5" w:rsidP="006D6DFA">
                  <w:pPr>
                    <w:pStyle w:val="Caption"/>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p w:rsidR="006F63B5" w:rsidRDefault="006F63B5" w:rsidP="006D6DFA">
                  <w:pPr>
                    <w:rPr>
                      <w:lang w:val="mk-MK"/>
                    </w:rPr>
                  </w:pPr>
                </w:p>
              </w:txbxContent>
            </v:textbox>
            <w10:wrap type="square"/>
          </v:shape>
        </w:pict>
      </w:r>
    </w:p>
    <w:p w:rsidR="00BF7D49" w:rsidRPr="00B63768" w:rsidRDefault="00F74D0C" w:rsidP="00BF7D49">
      <w:pPr>
        <w:ind w:firstLine="720"/>
        <w:rPr>
          <w:rFonts w:cs="Tahoma"/>
          <w:b/>
          <w:lang w:val="mk-MK"/>
        </w:rPr>
      </w:pPr>
      <w:r>
        <w:rPr>
          <w:rFonts w:cs="Tahoma"/>
          <w:b/>
          <w:lang w:val="mk-MK"/>
        </w:rPr>
        <w:t>В</w:t>
      </w:r>
      <w:r w:rsidRPr="00B63768">
        <w:rPr>
          <w:rFonts w:cs="Tahoma"/>
          <w:b/>
          <w:lang w:val="mk-MK"/>
        </w:rPr>
        <w:t>о овој квартал</w:t>
      </w:r>
      <w:r>
        <w:rPr>
          <w:rFonts w:cs="Tahoma"/>
          <w:b/>
          <w:lang w:val="mk-MK"/>
        </w:rPr>
        <w:t>, у</w:t>
      </w:r>
      <w:r w:rsidRPr="00B63768">
        <w:rPr>
          <w:rFonts w:cs="Tahoma"/>
          <w:b/>
          <w:lang w:val="mk-MK"/>
        </w:rPr>
        <w:t>чество</w:t>
      </w:r>
      <w:r>
        <w:rPr>
          <w:rFonts w:cs="Tahoma"/>
          <w:b/>
          <w:lang w:val="mk-MK"/>
        </w:rPr>
        <w:t>то на</w:t>
      </w:r>
      <w:r w:rsidRPr="00B63768">
        <w:rPr>
          <w:rFonts w:cs="Tahoma"/>
          <w:b/>
          <w:lang w:val="mk-MK"/>
        </w:rPr>
        <w:t xml:space="preserve"> </w:t>
      </w:r>
      <w:r>
        <w:rPr>
          <w:rFonts w:cs="Tahoma"/>
          <w:b/>
          <w:lang w:val="mk-MK"/>
        </w:rPr>
        <w:t>а</w:t>
      </w:r>
      <w:r w:rsidRPr="00B63768">
        <w:rPr>
          <w:rFonts w:cs="Tahoma"/>
          <w:b/>
          <w:lang w:val="mk-MK"/>
        </w:rPr>
        <w:t xml:space="preserve">ктивата </w:t>
      </w:r>
      <w:r w:rsidR="00BF7D49" w:rsidRPr="00B63768">
        <w:rPr>
          <w:rFonts w:cs="Tahoma"/>
          <w:b/>
          <w:lang w:val="mk-MK"/>
        </w:rPr>
        <w:t xml:space="preserve">и пасивата со валутна компонента </w:t>
      </w:r>
      <w:r w:rsidRPr="00B63768">
        <w:rPr>
          <w:rFonts w:cs="Tahoma"/>
          <w:b/>
          <w:lang w:val="mk-MK"/>
        </w:rPr>
        <w:t xml:space="preserve">во вкупната актива на банкарскиот систем </w:t>
      </w:r>
      <w:r>
        <w:rPr>
          <w:rFonts w:cs="Tahoma"/>
          <w:b/>
          <w:lang w:val="mk-MK"/>
        </w:rPr>
        <w:t>се</w:t>
      </w:r>
      <w:r w:rsidRPr="00B63768">
        <w:rPr>
          <w:rFonts w:cs="Tahoma"/>
          <w:b/>
          <w:lang w:val="mk-MK"/>
        </w:rPr>
        <w:t xml:space="preserve"> </w:t>
      </w:r>
      <w:r w:rsidR="00BF7D49" w:rsidRPr="00B63768">
        <w:rPr>
          <w:rFonts w:cs="Tahoma"/>
          <w:b/>
          <w:lang w:val="mk-MK"/>
        </w:rPr>
        <w:t xml:space="preserve">намали </w:t>
      </w:r>
      <w:r w:rsidRPr="00B63768">
        <w:rPr>
          <w:rFonts w:cs="Tahoma"/>
          <w:b/>
          <w:lang w:val="mk-MK"/>
        </w:rPr>
        <w:t>незначително</w:t>
      </w:r>
      <w:r w:rsidR="00BF7D49" w:rsidRPr="00B63768">
        <w:rPr>
          <w:rFonts w:cs="Tahoma"/>
          <w:b/>
          <w:lang w:val="mk-MK"/>
        </w:rPr>
        <w:t xml:space="preserve">. </w:t>
      </w:r>
      <w:r w:rsidR="00BF7D49" w:rsidRPr="00B63768">
        <w:rPr>
          <w:rFonts w:cs="Tahoma"/>
          <w:lang w:val="mk-MK"/>
        </w:rPr>
        <w:t xml:space="preserve">На годишно ниво ова намалувањето е позабележително. </w:t>
      </w:r>
    </w:p>
    <w:p w:rsidR="00004462" w:rsidRPr="00B63768" w:rsidRDefault="00004462">
      <w:pPr>
        <w:rPr>
          <w:rFonts w:cs="Tahoma"/>
          <w:lang w:val="mk-MK"/>
        </w:rPr>
      </w:pPr>
    </w:p>
    <w:p w:rsidR="008E6D94" w:rsidRPr="00B63768" w:rsidRDefault="00F74D0C" w:rsidP="008E6D94">
      <w:pPr>
        <w:ind w:firstLine="720"/>
        <w:rPr>
          <w:rFonts w:cs="Tahoma"/>
          <w:lang w:val="mk-MK"/>
        </w:rPr>
      </w:pPr>
      <w:r>
        <w:rPr>
          <w:rFonts w:cs="Tahoma"/>
          <w:lang w:val="mk-MK"/>
        </w:rPr>
        <w:t>Во с</w:t>
      </w:r>
      <w:r w:rsidRPr="00B63768">
        <w:rPr>
          <w:rFonts w:cs="Tahoma"/>
          <w:lang w:val="mk-MK"/>
        </w:rPr>
        <w:t>поред</w:t>
      </w:r>
      <w:r>
        <w:rPr>
          <w:rFonts w:cs="Tahoma"/>
          <w:lang w:val="mk-MK"/>
        </w:rPr>
        <w:t>ба</w:t>
      </w:r>
      <w:r w:rsidRPr="00B63768">
        <w:rPr>
          <w:rFonts w:cs="Tahoma"/>
          <w:lang w:val="mk-MK"/>
        </w:rPr>
        <w:t xml:space="preserve"> </w:t>
      </w:r>
      <w:r w:rsidR="008E6D94" w:rsidRPr="00B63768">
        <w:rPr>
          <w:rFonts w:cs="Tahoma"/>
          <w:lang w:val="mk-MK"/>
        </w:rPr>
        <w:t xml:space="preserve">со 31.12.2012 година, јазот меѓу активата и пасивата кај сите валути се стеснува, при што најголемо е стеснувањето на јазот меѓу активата и пасивата во евра. Имајќи го предвид значењето на оваа валута во структурата на активата и пасивата со валутна компонента, и придонесот на јазот во евра во вкупниот јаз меѓу активата и пасивата со валутна компонента е најголем. </w:t>
      </w:r>
    </w:p>
    <w:p w:rsidR="008E6D94" w:rsidRPr="00B63768" w:rsidRDefault="00040D2C" w:rsidP="008E6D94">
      <w:pPr>
        <w:rPr>
          <w:rFonts w:cs="Tahoma"/>
          <w:b/>
          <w:lang w:val="mk-MK"/>
        </w:rPr>
      </w:pPr>
      <w:r w:rsidRPr="00040D2C">
        <w:rPr>
          <w:lang w:val="mk-MK"/>
        </w:rPr>
        <w:pict>
          <v:shape id="_x0000_s1079" type="#_x0000_t202" style="position:absolute;left:0;text-align:left;margin-left:-223.4pt;margin-top:414.9pt;width:432.45pt;height:127.55pt;z-index:251718656;mso-position-horizontal-relative:margin;mso-position-vertical-relative:margin" strokecolor="black [3213]">
            <v:textbox style="mso-next-textbox:#_x0000_s1079">
              <w:txbxContent>
                <w:p w:rsidR="006F63B5" w:rsidRPr="007F131B" w:rsidRDefault="006F63B5" w:rsidP="00BF7D49">
                  <w:pPr>
                    <w:pStyle w:val="Caption"/>
                    <w:rPr>
                      <w:rFonts w:cs="Tahoma"/>
                    </w:rPr>
                  </w:pPr>
                  <w:r>
                    <w:t xml:space="preserve">Табела бр.  </w:t>
                  </w:r>
                  <w:fldSimple w:instr=" SEQ Табела_бр._ \* ARABIC ">
                    <w:r>
                      <w:rPr>
                        <w:noProof/>
                      </w:rPr>
                      <w:t>4</w:t>
                    </w:r>
                  </w:fldSimple>
                  <w:r>
                    <w:rPr>
                      <w:lang w:val="mk-MK"/>
                    </w:rPr>
                    <w:t xml:space="preserve"> </w:t>
                  </w:r>
                  <w:r>
                    <w:rPr>
                      <w:rFonts w:cs="Tahoma"/>
                      <w:lang w:val="mk-MK"/>
                    </w:rPr>
                    <w:t>Валутна структура на активата и пасивата со валутна компонента</w:t>
                  </w:r>
                </w:p>
                <w:p w:rsidR="006F63B5" w:rsidRDefault="006F63B5" w:rsidP="00BF7D49">
                  <w:pPr>
                    <w:pStyle w:val="Caption"/>
                    <w:rPr>
                      <w:szCs w:val="18"/>
                      <w:lang w:val="mk-MK"/>
                    </w:rPr>
                  </w:pPr>
                  <w:r w:rsidRPr="00465791">
                    <w:rPr>
                      <w:noProof/>
                      <w:szCs w:val="18"/>
                    </w:rPr>
                    <w:drawing>
                      <wp:inline distT="0" distB="0" distL="0" distR="0">
                        <wp:extent cx="5219700" cy="1091932"/>
                        <wp:effectExtent l="19050" t="0" r="0" b="0"/>
                        <wp:docPr id="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5238549" cy="1095875"/>
                                </a:xfrm>
                                <a:prstGeom prst="rect">
                                  <a:avLst/>
                                </a:prstGeom>
                                <a:noFill/>
                                <a:ln w="9525">
                                  <a:noFill/>
                                  <a:miter lim="800000"/>
                                  <a:headEnd/>
                                  <a:tailEnd/>
                                </a:ln>
                              </pic:spPr>
                            </pic:pic>
                          </a:graphicData>
                        </a:graphic>
                      </wp:inline>
                    </w:drawing>
                  </w:r>
                  <w:r w:rsidRPr="00465791">
                    <w:rPr>
                      <w:szCs w:val="18"/>
                    </w:rPr>
                    <w:t xml:space="preserve"> </w:t>
                  </w:r>
                </w:p>
                <w:p w:rsidR="006F63B5" w:rsidRPr="00A72927" w:rsidRDefault="006F63B5" w:rsidP="00BF7D49">
                  <w:pPr>
                    <w:pStyle w:val="Caption"/>
                    <w:rPr>
                      <w:b w:val="0"/>
                      <w:sz w:val="18"/>
                      <w:szCs w:val="18"/>
                      <w:lang w:val="mk-MK"/>
                    </w:rPr>
                  </w:pP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C17996" w:rsidRDefault="006F63B5" w:rsidP="00BF7D49"/>
                <w:p w:rsidR="006F63B5" w:rsidRDefault="006F63B5" w:rsidP="00BF7D49"/>
                <w:p w:rsidR="006F63B5" w:rsidRPr="00EE26CC" w:rsidRDefault="006F63B5" w:rsidP="00BF7D49"/>
                <w:p w:rsidR="006F63B5" w:rsidRDefault="006F63B5" w:rsidP="00BF7D49">
                  <w:pPr>
                    <w:pStyle w:val="Caption"/>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Pr="008476D5" w:rsidRDefault="006F63B5" w:rsidP="00BF7D49">
                  <w:pPr>
                    <w:rPr>
                      <w:sz w:val="20"/>
                      <w:szCs w:val="20"/>
                      <w:lang w:val="mk-MK"/>
                    </w:rPr>
                  </w:pPr>
                  <w:r w:rsidRPr="008476D5">
                    <w:rPr>
                      <w:sz w:val="20"/>
                      <w:szCs w:val="20"/>
                      <w:lang w:val="mk-MK"/>
                    </w:rPr>
                    <w:t>Извор:</w:t>
                  </w:r>
                </w:p>
              </w:txbxContent>
            </v:textbox>
            <w10:wrap type="square" anchorx="margin" anchory="margin"/>
          </v:shape>
        </w:pict>
      </w:r>
    </w:p>
    <w:p w:rsidR="008E6D94" w:rsidRPr="00B63768" w:rsidRDefault="008E6D94" w:rsidP="008E6D94">
      <w:pPr>
        <w:ind w:firstLine="720"/>
        <w:rPr>
          <w:rFonts w:cs="Tahoma"/>
          <w:b/>
          <w:lang w:val="mk-MK"/>
        </w:rPr>
      </w:pPr>
    </w:p>
    <w:p w:rsidR="00BF7D49" w:rsidRPr="00B63768" w:rsidRDefault="00040D2C" w:rsidP="00BF7D49">
      <w:pPr>
        <w:ind w:firstLine="720"/>
        <w:rPr>
          <w:rFonts w:cs="Tahoma"/>
          <w:lang w:val="mk-MK"/>
        </w:rPr>
      </w:pPr>
      <w:r w:rsidRPr="00040D2C">
        <w:rPr>
          <w:rFonts w:eastAsiaTheme="majorEastAsia" w:cs="Tahoma"/>
          <w:b/>
          <w:iCs/>
          <w:lang w:val="mk-MK"/>
        </w:rPr>
        <w:lastRenderedPageBreak/>
        <w:pict>
          <v:shape id="_x0000_s1083" type="#_x0000_t202" style="position:absolute;left:0;text-align:left;margin-left:-223.8pt;margin-top:-3.65pt;width:208.5pt;height:192.8pt;z-index:251722752" strokecolor="black [3213]">
            <v:textbox style="mso-next-textbox:#_x0000_s1083">
              <w:txbxContent>
                <w:p w:rsidR="006F63B5" w:rsidRDefault="006F63B5" w:rsidP="00BF7D49">
                  <w:pPr>
                    <w:pStyle w:val="Caption"/>
                    <w:rPr>
                      <w:b w:val="0"/>
                      <w:lang w:val="mk-MK"/>
                    </w:rPr>
                  </w:pPr>
                  <w:r>
                    <w:t xml:space="preserve">Графикон бр. </w:t>
                  </w:r>
                  <w:fldSimple w:instr=" SEQ Графикон_бр. \* ARABIC ">
                    <w:r>
                      <w:rPr>
                        <w:noProof/>
                      </w:rPr>
                      <w:t>48</w:t>
                    </w:r>
                  </w:fldSimple>
                  <w:r>
                    <w:rPr>
                      <w:lang w:val="mk-MK"/>
                    </w:rPr>
                    <w:t xml:space="preserve"> Сооднос на агрегатната девизна позиција и сопствените средства, по одделни банки</w:t>
                  </w:r>
                  <w:r w:rsidRPr="00E858D1">
                    <w:rPr>
                      <w:b w:val="0"/>
                      <w:lang w:val="mk-MK"/>
                    </w:rPr>
                    <w:t xml:space="preserve"> </w:t>
                  </w:r>
                </w:p>
                <w:p w:rsidR="006F63B5" w:rsidRPr="00A72927" w:rsidRDefault="006F63B5" w:rsidP="00BF7D49">
                  <w:pPr>
                    <w:pStyle w:val="Caption"/>
                    <w:rPr>
                      <w:b w:val="0"/>
                      <w:sz w:val="18"/>
                      <w:szCs w:val="18"/>
                      <w:lang w:val="mk-MK"/>
                    </w:rPr>
                  </w:pPr>
                  <w:r w:rsidRPr="00CD198D">
                    <w:rPr>
                      <w:noProof/>
                      <w:szCs w:val="18"/>
                    </w:rPr>
                    <w:drawing>
                      <wp:inline distT="0" distB="0" distL="0" distR="0">
                        <wp:extent cx="2444371" cy="1446663"/>
                        <wp:effectExtent l="19050" t="0" r="0" b="0"/>
                        <wp:docPr id="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2446899" cy="1448159"/>
                                </a:xfrm>
                                <a:prstGeom prst="rect">
                                  <a:avLst/>
                                </a:prstGeom>
                                <a:noFill/>
                                <a:ln w="9525">
                                  <a:noFill/>
                                  <a:miter lim="800000"/>
                                  <a:headEnd/>
                                  <a:tailEnd/>
                                </a:ln>
                              </pic:spPr>
                            </pic:pic>
                          </a:graphicData>
                        </a:graphic>
                      </wp:inline>
                    </w:drawing>
                  </w:r>
                  <w:r w:rsidRPr="00D22DB7">
                    <w:rPr>
                      <w:szCs w:val="18"/>
                      <w:lang w:val="mk-MK"/>
                    </w:rPr>
                    <w:t xml:space="preserve"> </w:t>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BF7D49">
                  <w:pPr>
                    <w:rPr>
                      <w:lang w:val="mk-MK"/>
                    </w:rPr>
                  </w:pPr>
                </w:p>
                <w:p w:rsidR="006F63B5" w:rsidRPr="00303B89" w:rsidRDefault="006F63B5" w:rsidP="00BF7D49">
                  <w:pPr>
                    <w:rPr>
                      <w:lang w:val="mk-MK"/>
                    </w:rPr>
                  </w:pPr>
                </w:p>
                <w:p w:rsidR="006F63B5" w:rsidRPr="00303B89" w:rsidRDefault="006F63B5" w:rsidP="00BF7D49">
                  <w:pPr>
                    <w:rPr>
                      <w:lang w:val="mk-MK"/>
                    </w:rPr>
                  </w:pPr>
                </w:p>
                <w:p w:rsidR="006F63B5" w:rsidRDefault="006F63B5" w:rsidP="00BF7D49">
                  <w:pPr>
                    <w:pStyle w:val="Caption"/>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Pr="008476D5" w:rsidRDefault="006F63B5" w:rsidP="00BF7D49">
                  <w:pPr>
                    <w:rPr>
                      <w:sz w:val="20"/>
                      <w:szCs w:val="20"/>
                      <w:lang w:val="mk-MK"/>
                    </w:rPr>
                  </w:pPr>
                  <w:r w:rsidRPr="008476D5">
                    <w:rPr>
                      <w:sz w:val="20"/>
                      <w:szCs w:val="20"/>
                      <w:lang w:val="mk-MK"/>
                    </w:rPr>
                    <w:t>Извор:</w:t>
                  </w:r>
                </w:p>
              </w:txbxContent>
            </v:textbox>
            <w10:wrap type="square"/>
          </v:shape>
        </w:pict>
      </w:r>
      <w:r w:rsidRPr="00040D2C">
        <w:rPr>
          <w:b/>
          <w:lang w:val="mk-MK"/>
        </w:rPr>
        <w:pict>
          <v:shape id="_x0000_s1086" type="#_x0000_t202" style="position:absolute;left:0;text-align:left;margin-left:-223.8pt;margin-top:195.9pt;width:458.75pt;height:154.6pt;z-index:251726848;mso-position-horizontal-relative:margin;mso-position-vertical-relative:margin" strokecolor="black [3213]">
            <v:textbox style="mso-next-textbox:#_x0000_s1086">
              <w:txbxContent>
                <w:p w:rsidR="006F63B5" w:rsidRDefault="006F63B5" w:rsidP="006D6DFA">
                  <w:pPr>
                    <w:pStyle w:val="Caption"/>
                    <w:rPr>
                      <w:rFonts w:cs="Tahoma"/>
                      <w:lang w:val="mk-MK"/>
                    </w:rPr>
                  </w:pPr>
                  <w:r>
                    <w:t xml:space="preserve">Табела бр.  </w:t>
                  </w:r>
                  <w:fldSimple w:instr=" SEQ Табела_бр._ \* ARABIC ">
                    <w:r>
                      <w:rPr>
                        <w:noProof/>
                      </w:rPr>
                      <w:t>5</w:t>
                    </w:r>
                  </w:fldSimple>
                  <w:r>
                    <w:rPr>
                      <w:lang w:val="mk-MK"/>
                    </w:rPr>
                    <w:t xml:space="preserve"> </w:t>
                  </w:r>
                  <w:r>
                    <w:rPr>
                      <w:rFonts w:cs="Tahoma"/>
                      <w:lang w:val="mk-MK"/>
                    </w:rPr>
                    <w:t>Отворена девизна позиција по одделни валути во однос на сопствените средства на банките</w:t>
                  </w:r>
                </w:p>
                <w:p w:rsidR="006F63B5" w:rsidRPr="00A72927" w:rsidRDefault="006F63B5" w:rsidP="00BF7D49">
                  <w:pPr>
                    <w:pStyle w:val="Caption"/>
                    <w:rPr>
                      <w:b w:val="0"/>
                      <w:sz w:val="18"/>
                      <w:szCs w:val="18"/>
                      <w:lang w:val="mk-MK"/>
                    </w:rPr>
                  </w:pPr>
                  <w:r w:rsidRPr="000B3F57">
                    <w:rPr>
                      <w:noProof/>
                      <w:szCs w:val="18"/>
                    </w:rPr>
                    <w:drawing>
                      <wp:inline distT="0" distB="0" distL="0" distR="0">
                        <wp:extent cx="5453702" cy="1422773"/>
                        <wp:effectExtent l="19050" t="0" r="0" b="0"/>
                        <wp:docPr id="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5458096" cy="1423919"/>
                                </a:xfrm>
                                <a:prstGeom prst="rect">
                                  <a:avLst/>
                                </a:prstGeom>
                                <a:noFill/>
                                <a:ln w="9525">
                                  <a:noFill/>
                                  <a:miter lim="800000"/>
                                  <a:headEnd/>
                                  <a:tailEnd/>
                                </a:ln>
                              </pic:spPr>
                            </pic:pic>
                          </a:graphicData>
                        </a:graphic>
                      </wp:inline>
                    </w:drawing>
                  </w:r>
                  <w:r w:rsidRPr="00D22DB7">
                    <w:rPr>
                      <w:szCs w:val="18"/>
                      <w:lang w:val="mk-MK"/>
                    </w:rPr>
                    <w:t xml:space="preserve"> </w:t>
                  </w:r>
                  <w:r w:rsidRPr="00A72927">
                    <w:rPr>
                      <w:b w:val="0"/>
                      <w:sz w:val="18"/>
                      <w:szCs w:val="18"/>
                      <w:lang w:val="mk-MK"/>
                    </w:rPr>
                    <w:t>Извор:</w:t>
                  </w:r>
                  <w:r w:rsidRPr="00A72927">
                    <w:rPr>
                      <w:rFonts w:cs="Tahoma"/>
                      <w:b w:val="0"/>
                      <w:sz w:val="18"/>
                      <w:szCs w:val="18"/>
                      <w:lang w:val="mk-MK"/>
                    </w:rPr>
                    <w:t xml:space="preserve"> НБРМ, врз основа на податоците доставени од страна на банките.</w:t>
                  </w:r>
                </w:p>
                <w:p w:rsidR="006F63B5" w:rsidRPr="00303B89" w:rsidRDefault="006F63B5" w:rsidP="00BF7D49">
                  <w:pPr>
                    <w:rPr>
                      <w:lang w:val="mk-MK"/>
                    </w:rPr>
                  </w:pPr>
                </w:p>
                <w:p w:rsidR="006F63B5" w:rsidRPr="00303B89" w:rsidRDefault="006F63B5" w:rsidP="00BF7D49">
                  <w:pPr>
                    <w:rPr>
                      <w:lang w:val="mk-MK"/>
                    </w:rPr>
                  </w:pPr>
                </w:p>
                <w:p w:rsidR="006F63B5" w:rsidRPr="00303B89" w:rsidRDefault="006F63B5" w:rsidP="00BF7D49">
                  <w:pPr>
                    <w:rPr>
                      <w:lang w:val="mk-MK"/>
                    </w:rPr>
                  </w:pPr>
                </w:p>
                <w:p w:rsidR="006F63B5" w:rsidRDefault="006F63B5" w:rsidP="00BF7D49">
                  <w:pPr>
                    <w:pStyle w:val="Caption"/>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Default="006F63B5" w:rsidP="00BF7D49">
                  <w:pPr>
                    <w:rPr>
                      <w:lang w:val="mk-MK"/>
                    </w:rPr>
                  </w:pPr>
                </w:p>
                <w:p w:rsidR="006F63B5" w:rsidRPr="008476D5" w:rsidRDefault="006F63B5" w:rsidP="00BF7D49">
                  <w:pPr>
                    <w:rPr>
                      <w:sz w:val="20"/>
                      <w:szCs w:val="20"/>
                      <w:lang w:val="mk-MK"/>
                    </w:rPr>
                  </w:pPr>
                  <w:r w:rsidRPr="008476D5">
                    <w:rPr>
                      <w:sz w:val="20"/>
                      <w:szCs w:val="20"/>
                      <w:lang w:val="mk-MK"/>
                    </w:rPr>
                    <w:t>Извор:</w:t>
                  </w:r>
                </w:p>
              </w:txbxContent>
            </v:textbox>
            <w10:wrap type="square" anchorx="margin" anchory="margin"/>
          </v:shape>
        </w:pict>
      </w:r>
      <w:r w:rsidR="00BF7D49" w:rsidRPr="00B63768">
        <w:rPr>
          <w:rFonts w:cs="Tahoma"/>
          <w:b/>
          <w:lang w:val="mk-MK"/>
        </w:rPr>
        <w:t>На 31.3.2013 година, кај сите банки агрегатната девизна позиција  беше во рамките на пропишаниот лимит за агрегатна девизна позиција (30% од сопствените средства).</w:t>
      </w:r>
      <w:r w:rsidR="00BF7D49" w:rsidRPr="00B63768">
        <w:rPr>
          <w:rFonts w:cs="Tahoma"/>
          <w:lang w:val="mk-MK"/>
        </w:rPr>
        <w:t xml:space="preserve"> Од вкупно петнаесет банки коишто известуваат за агрегатната девизна позиција, девет банки имаат агрегатна долга девизна позиција, додека шест банки имаат агрегатна кратка девизна позиција.</w:t>
      </w:r>
      <w:r w:rsidR="00BF7D49" w:rsidRPr="00B63768">
        <w:rPr>
          <w:rStyle w:val="FootnoteReference"/>
          <w:rFonts w:cs="Tahoma"/>
          <w:lang w:val="mk-MK"/>
        </w:rPr>
        <w:footnoteReference w:id="38"/>
      </w:r>
      <w:r w:rsidR="00BF7D49" w:rsidRPr="00B63768">
        <w:rPr>
          <w:rFonts w:cs="Tahoma"/>
          <w:lang w:val="mk-MK"/>
        </w:rPr>
        <w:t xml:space="preserve"> Сите банки го одржаа пропишаниот лимит за агрегатна девизна позиција, вклучувајќи ги и првите два месеца од вториот квартал од 2013 година.    </w:t>
      </w:r>
    </w:p>
    <w:p w:rsidR="00BF7D49" w:rsidRDefault="00BF7D49" w:rsidP="00BF7D49">
      <w:pPr>
        <w:ind w:firstLine="720"/>
        <w:rPr>
          <w:rFonts w:cs="Tahoma"/>
          <w:lang w:val="mk-MK"/>
        </w:rPr>
      </w:pPr>
    </w:p>
    <w:p w:rsidR="0097039F" w:rsidRPr="00B63768" w:rsidRDefault="0097039F" w:rsidP="00BF7D49">
      <w:pPr>
        <w:ind w:firstLine="720"/>
        <w:rPr>
          <w:rFonts w:cs="Tahoma"/>
          <w:lang w:val="mk-MK"/>
        </w:rPr>
      </w:pPr>
    </w:p>
    <w:p w:rsidR="001870F7" w:rsidRPr="00B63768" w:rsidRDefault="001870F7" w:rsidP="003B2315">
      <w:pPr>
        <w:pStyle w:val="Heading2"/>
      </w:pPr>
      <w:bookmarkStart w:id="60" w:name="_Toc362007060"/>
      <w:r w:rsidRPr="00B63768">
        <w:t>Ризик од промена на каматните стапки во портфолиото на банкарски активности</w:t>
      </w:r>
      <w:bookmarkEnd w:id="60"/>
    </w:p>
    <w:p w:rsidR="006B54B5" w:rsidRPr="00B63768" w:rsidRDefault="006B54B5" w:rsidP="006B54B5">
      <w:pPr>
        <w:ind w:left="-4500" w:firstLine="630"/>
        <w:rPr>
          <w:b/>
          <w:lang w:val="mk-MK"/>
        </w:rPr>
      </w:pPr>
    </w:p>
    <w:p w:rsidR="006B54B5" w:rsidRPr="00B63768" w:rsidRDefault="006B54B5" w:rsidP="006B54B5">
      <w:pPr>
        <w:ind w:left="-4500" w:firstLine="630"/>
        <w:rPr>
          <w:b/>
          <w:lang w:val="mk-MK"/>
        </w:rPr>
      </w:pPr>
      <w:r w:rsidRPr="00B63768">
        <w:rPr>
          <w:b/>
          <w:lang w:val="mk-MK"/>
        </w:rPr>
        <w:t xml:space="preserve">Ризикот од промена на каматните стапки во портфолиото на банкарски активности и понатаму има маргинално значење </w:t>
      </w:r>
      <w:r w:rsidRPr="00B63768">
        <w:rPr>
          <w:rFonts w:cs="Tahoma"/>
          <w:b/>
          <w:lang w:val="mk-MK"/>
        </w:rPr>
        <w:t>меѓу ризиците коишто</w:t>
      </w:r>
      <w:r w:rsidRPr="00B63768">
        <w:rPr>
          <w:b/>
          <w:lang w:val="mk-MK"/>
        </w:rPr>
        <w:t xml:space="preserve"> банките во Република Македонија</w:t>
      </w:r>
      <w:r w:rsidRPr="00B63768">
        <w:rPr>
          <w:rFonts w:cs="Tahoma"/>
          <w:b/>
          <w:lang w:val="mk-MK"/>
        </w:rPr>
        <w:t xml:space="preserve"> ги преземаат при вршењето на своите активности</w:t>
      </w:r>
      <w:r w:rsidRPr="00B63768">
        <w:rPr>
          <w:b/>
          <w:lang w:val="mk-MK"/>
        </w:rPr>
        <w:t>. Големата застапеност на прилагодливите каматни стапки</w:t>
      </w:r>
      <w:r w:rsidRPr="00B63768">
        <w:rPr>
          <w:rStyle w:val="FootnoteReference"/>
          <w:b/>
          <w:lang w:val="mk-MK"/>
        </w:rPr>
        <w:footnoteReference w:id="39"/>
      </w:r>
      <w:r w:rsidR="00D22DB7" w:rsidRPr="00B63768">
        <w:rPr>
          <w:b/>
          <w:lang w:val="mk-MK"/>
        </w:rPr>
        <w:t xml:space="preserve">, </w:t>
      </w:r>
      <w:r w:rsidRPr="00B63768">
        <w:rPr>
          <w:b/>
          <w:lang w:val="mk-MK"/>
        </w:rPr>
        <w:t>односно</w:t>
      </w:r>
      <w:r w:rsidR="00D22DB7" w:rsidRPr="00B63768">
        <w:rPr>
          <w:b/>
          <w:lang w:val="mk-MK"/>
        </w:rPr>
        <w:t xml:space="preserve"> </w:t>
      </w:r>
      <w:r w:rsidRPr="00B63768">
        <w:rPr>
          <w:b/>
          <w:lang w:val="mk-MK"/>
        </w:rPr>
        <w:t>практика</w:t>
      </w:r>
      <w:r w:rsidR="00973A14" w:rsidRPr="00B63768">
        <w:rPr>
          <w:b/>
          <w:lang w:val="mk-MK"/>
        </w:rPr>
        <w:t>та</w:t>
      </w:r>
      <w:r w:rsidRPr="00B63768">
        <w:rPr>
          <w:b/>
          <w:lang w:val="mk-MK"/>
        </w:rPr>
        <w:t xml:space="preserve"> на </w:t>
      </w:r>
      <w:r w:rsidR="00D22DB7" w:rsidRPr="00B63768">
        <w:rPr>
          <w:b/>
          <w:lang w:val="mk-MK"/>
        </w:rPr>
        <w:t xml:space="preserve">банките </w:t>
      </w:r>
      <w:r w:rsidRPr="00B63768">
        <w:rPr>
          <w:b/>
          <w:lang w:val="mk-MK"/>
        </w:rPr>
        <w:t>за</w:t>
      </w:r>
      <w:r w:rsidR="00D22DB7" w:rsidRPr="00B63768">
        <w:rPr>
          <w:b/>
          <w:lang w:val="mk-MK"/>
        </w:rPr>
        <w:t xml:space="preserve"> приспособува</w:t>
      </w:r>
      <w:r w:rsidRPr="00B63768">
        <w:rPr>
          <w:b/>
          <w:lang w:val="mk-MK"/>
        </w:rPr>
        <w:t>ње на</w:t>
      </w:r>
      <w:r w:rsidR="00D22DB7" w:rsidRPr="00B63768">
        <w:rPr>
          <w:b/>
          <w:lang w:val="mk-MK"/>
        </w:rPr>
        <w:t xml:space="preserve"> висината на каматните стапки според своите цели и потреби</w:t>
      </w:r>
      <w:r w:rsidRPr="00B63768">
        <w:rPr>
          <w:b/>
          <w:lang w:val="mk-MK"/>
        </w:rPr>
        <w:t xml:space="preserve">, се причината овој ризик да ја задржи својата скромна и ограничена улога и во првиот квартал од 2013 година. </w:t>
      </w:r>
      <w:r w:rsidR="00D22DB7" w:rsidRPr="00B63768">
        <w:rPr>
          <w:b/>
          <w:lang w:val="mk-MK"/>
        </w:rPr>
        <w:t xml:space="preserve">Избегнувајќи </w:t>
      </w:r>
      <w:r w:rsidRPr="00B63768">
        <w:rPr>
          <w:b/>
          <w:lang w:val="mk-MK"/>
        </w:rPr>
        <w:t>ги последиците од евентуалните неповолни промени на каматните стапки,</w:t>
      </w:r>
      <w:r w:rsidR="00D22DB7" w:rsidRPr="00B63768">
        <w:rPr>
          <w:b/>
          <w:lang w:val="mk-MK"/>
        </w:rPr>
        <w:t xml:space="preserve"> банките </w:t>
      </w:r>
      <w:r w:rsidRPr="00B63768">
        <w:rPr>
          <w:b/>
          <w:lang w:val="mk-MK"/>
        </w:rPr>
        <w:t xml:space="preserve">и понатаму </w:t>
      </w:r>
      <w:r w:rsidR="00D22DB7" w:rsidRPr="00B63768">
        <w:rPr>
          <w:b/>
          <w:lang w:val="mk-MK"/>
        </w:rPr>
        <w:t>го пренесуваат</w:t>
      </w:r>
      <w:r w:rsidRPr="00B63768">
        <w:rPr>
          <w:b/>
          <w:lang w:val="mk-MK"/>
        </w:rPr>
        <w:t xml:space="preserve"> ризикот од промена на каматните стапки </w:t>
      </w:r>
      <w:r w:rsidR="00D22DB7" w:rsidRPr="00B63768">
        <w:rPr>
          <w:b/>
          <w:lang w:val="mk-MK"/>
        </w:rPr>
        <w:t xml:space="preserve">на корисниците на банкарските производи (кредитите), претворајќи го во кредитен ризик. </w:t>
      </w:r>
    </w:p>
    <w:p w:rsidR="006B54B5" w:rsidRPr="00B63768" w:rsidRDefault="00040D2C" w:rsidP="006B54B5">
      <w:pPr>
        <w:rPr>
          <w:lang w:val="mk-MK"/>
        </w:rPr>
      </w:pPr>
      <w:r w:rsidRPr="00040D2C">
        <w:rPr>
          <w:lang w:val="mk-MK"/>
        </w:rPr>
        <w:lastRenderedPageBreak/>
        <w:pict>
          <v:shape id="_x0000_s1030" type="#_x0000_t202" style="position:absolute;left:0;text-align:left;margin-left:-227.95pt;margin-top:-13.35pt;width:222.1pt;height:240.4pt;z-index:251666432" stroked="f">
            <v:textbox style="mso-next-textbox:#_x0000_s1030">
              <w:txbxContent>
                <w:p w:rsidR="006F63B5" w:rsidRPr="0022788D" w:rsidRDefault="006F63B5" w:rsidP="006D6DFA">
                  <w:pPr>
                    <w:pStyle w:val="Caption"/>
                    <w:pBdr>
                      <w:top w:val="single" w:sz="4" w:space="3" w:color="auto"/>
                      <w:left w:val="single" w:sz="4" w:space="4" w:color="auto"/>
                      <w:bottom w:val="single" w:sz="4" w:space="1" w:color="auto"/>
                      <w:right w:val="single" w:sz="4" w:space="4" w:color="auto"/>
                    </w:pBdr>
                    <w:tabs>
                      <w:tab w:val="left" w:pos="90"/>
                    </w:tabs>
                    <w:rPr>
                      <w:szCs w:val="20"/>
                      <w:lang w:val="mk-MK"/>
                    </w:rPr>
                  </w:pPr>
                  <w:bookmarkStart w:id="61" w:name="_Toc337029119"/>
                  <w:r w:rsidRPr="00420D62">
                    <w:rPr>
                      <w:szCs w:val="20"/>
                    </w:rPr>
                    <w:t>Графикон</w:t>
                  </w:r>
                  <w:r>
                    <w:rPr>
                      <w:szCs w:val="20"/>
                      <w:lang w:val="mk-MK"/>
                    </w:rPr>
                    <w:t xml:space="preserve"> </w:t>
                  </w:r>
                  <w:r w:rsidRPr="00420D62">
                    <w:rPr>
                      <w:szCs w:val="20"/>
                    </w:rPr>
                    <w:t xml:space="preserve">бр. </w:t>
                  </w:r>
                  <w:r w:rsidR="00040D2C" w:rsidRPr="00420D62">
                    <w:rPr>
                      <w:szCs w:val="20"/>
                    </w:rPr>
                    <w:fldChar w:fldCharType="begin"/>
                  </w:r>
                  <w:r w:rsidRPr="00420D62">
                    <w:rPr>
                      <w:szCs w:val="20"/>
                    </w:rPr>
                    <w:instrText xml:space="preserve"> SEQ Графикон_бр. \* ARABIC </w:instrText>
                  </w:r>
                  <w:r w:rsidR="00040D2C" w:rsidRPr="00420D62">
                    <w:rPr>
                      <w:szCs w:val="20"/>
                    </w:rPr>
                    <w:fldChar w:fldCharType="separate"/>
                  </w:r>
                  <w:r>
                    <w:rPr>
                      <w:noProof/>
                      <w:szCs w:val="20"/>
                    </w:rPr>
                    <w:t>49</w:t>
                  </w:r>
                  <w:r w:rsidR="00040D2C" w:rsidRPr="00420D62">
                    <w:rPr>
                      <w:szCs w:val="20"/>
                    </w:rPr>
                    <w:fldChar w:fldCharType="end"/>
                  </w:r>
                  <w:r w:rsidRPr="00420D62">
                    <w:rPr>
                      <w:szCs w:val="20"/>
                    </w:rPr>
                    <w:t xml:space="preserve"> Структура на каматочувствителните средства</w:t>
                  </w:r>
                  <w:r>
                    <w:rPr>
                      <w:szCs w:val="20"/>
                      <w:lang w:val="mk-MK"/>
                    </w:rPr>
                    <w:t xml:space="preserve"> и обврски, </w:t>
                  </w:r>
                  <w:r w:rsidRPr="00420D62">
                    <w:rPr>
                      <w:szCs w:val="20"/>
                    </w:rPr>
                    <w:t>според типот на каматната стапка</w:t>
                  </w:r>
                  <w:bookmarkEnd w:id="61"/>
                </w:p>
                <w:p w:rsidR="006F63B5" w:rsidRPr="00DB04B5" w:rsidRDefault="006F63B5" w:rsidP="006D6DFA">
                  <w:pPr>
                    <w:pBdr>
                      <w:top w:val="single" w:sz="4" w:space="3" w:color="auto"/>
                      <w:left w:val="single" w:sz="4" w:space="4" w:color="auto"/>
                      <w:bottom w:val="single" w:sz="4" w:space="1" w:color="auto"/>
                      <w:right w:val="single" w:sz="4" w:space="4" w:color="auto"/>
                    </w:pBdr>
                    <w:rPr>
                      <w:lang w:val="mk-MK"/>
                    </w:rPr>
                  </w:pPr>
                  <w:r w:rsidRPr="0006076C">
                    <w:rPr>
                      <w:noProof/>
                    </w:rPr>
                    <w:drawing>
                      <wp:inline distT="0" distB="0" distL="0" distR="0">
                        <wp:extent cx="2637790" cy="2009729"/>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637790" cy="2009729"/>
                                </a:xfrm>
                                <a:prstGeom prst="rect">
                                  <a:avLst/>
                                </a:prstGeom>
                                <a:noFill/>
                                <a:ln w="9525">
                                  <a:noFill/>
                                  <a:miter lim="800000"/>
                                  <a:headEnd/>
                                  <a:tailEnd/>
                                </a:ln>
                              </pic:spPr>
                            </pic:pic>
                          </a:graphicData>
                        </a:graphic>
                      </wp:inline>
                    </w:drawing>
                  </w:r>
                </w:p>
                <w:p w:rsidR="006F63B5" w:rsidRPr="00F34C68" w:rsidRDefault="006F63B5" w:rsidP="006D6DFA">
                  <w:pPr>
                    <w:pStyle w:val="Caption"/>
                    <w:pBdr>
                      <w:top w:val="single" w:sz="4" w:space="3" w:color="auto"/>
                      <w:left w:val="single" w:sz="4" w:space="4" w:color="auto"/>
                      <w:bottom w:val="single" w:sz="4" w:space="1" w:color="auto"/>
                      <w:right w:val="single" w:sz="4" w:space="4" w:color="auto"/>
                    </w:pBdr>
                    <w:rPr>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txbxContent>
            </v:textbox>
          </v:shape>
        </w:pict>
      </w:r>
    </w:p>
    <w:p w:rsidR="006B54B5" w:rsidRPr="00B63768" w:rsidRDefault="006B54B5" w:rsidP="003B2315">
      <w:pPr>
        <w:pStyle w:val="Heading3"/>
      </w:pPr>
      <w:bookmarkStart w:id="62" w:name="_Toc337029272"/>
      <w:bookmarkStart w:id="63" w:name="_Toc362007061"/>
      <w:r w:rsidRPr="00B63768">
        <w:t>Структура на каматочувствителните средства и обврски</w:t>
      </w:r>
      <w:bookmarkEnd w:id="62"/>
      <w:bookmarkEnd w:id="63"/>
    </w:p>
    <w:p w:rsidR="006B54B5" w:rsidRPr="00B63768" w:rsidRDefault="006B54B5" w:rsidP="006B54B5">
      <w:pPr>
        <w:rPr>
          <w:lang w:val="mk-MK"/>
        </w:rPr>
      </w:pPr>
    </w:p>
    <w:p w:rsidR="006B54B5" w:rsidRPr="00B63768" w:rsidRDefault="00040D2C" w:rsidP="00D41027">
      <w:pPr>
        <w:ind w:firstLine="567"/>
        <w:rPr>
          <w:lang w:val="mk-MK"/>
        </w:rPr>
      </w:pPr>
      <w:r w:rsidRPr="00040D2C">
        <w:rPr>
          <w:lang w:val="mk-MK"/>
        </w:rPr>
        <w:pict>
          <v:shape id="_x0000_s1032" type="#_x0000_t202" style="position:absolute;left:0;text-align:left;margin-left:-228.95pt;margin-top:160.7pt;width:222.1pt;height:333.95pt;z-index:251668480" stroked="f">
            <v:textbox style="mso-next-textbox:#_x0000_s1032">
              <w:txbxContent>
                <w:p w:rsidR="006F63B5" w:rsidRPr="007C6837" w:rsidRDefault="006F63B5" w:rsidP="008E6D94">
                  <w:pPr>
                    <w:pStyle w:val="Caption"/>
                    <w:pBdr>
                      <w:top w:val="single" w:sz="4" w:space="0" w:color="auto"/>
                      <w:left w:val="single" w:sz="4" w:space="4" w:color="auto"/>
                      <w:bottom w:val="single" w:sz="4" w:space="1" w:color="auto"/>
                      <w:right w:val="single" w:sz="4" w:space="4" w:color="auto"/>
                    </w:pBdr>
                    <w:tabs>
                      <w:tab w:val="left" w:pos="90"/>
                    </w:tabs>
                    <w:rPr>
                      <w:szCs w:val="20"/>
                      <w:lang w:val="mk-MK"/>
                    </w:rPr>
                  </w:pPr>
                  <w:r w:rsidRPr="00420D62">
                    <w:rPr>
                      <w:szCs w:val="20"/>
                    </w:rPr>
                    <w:t>Графикон</w:t>
                  </w:r>
                  <w:r>
                    <w:rPr>
                      <w:szCs w:val="20"/>
                      <w:lang w:val="mk-MK"/>
                    </w:rPr>
                    <w:t xml:space="preserve"> </w:t>
                  </w:r>
                  <w:r w:rsidRPr="00420D62">
                    <w:rPr>
                      <w:szCs w:val="20"/>
                    </w:rPr>
                    <w:t xml:space="preserve">бр. </w:t>
                  </w:r>
                  <w:r w:rsidR="00040D2C" w:rsidRPr="00420D62">
                    <w:rPr>
                      <w:szCs w:val="20"/>
                    </w:rPr>
                    <w:fldChar w:fldCharType="begin"/>
                  </w:r>
                  <w:r w:rsidRPr="00420D62">
                    <w:rPr>
                      <w:szCs w:val="20"/>
                    </w:rPr>
                    <w:instrText xml:space="preserve"> SEQ Графикон_бр. \* ARABIC </w:instrText>
                  </w:r>
                  <w:r w:rsidR="00040D2C" w:rsidRPr="00420D62">
                    <w:rPr>
                      <w:szCs w:val="20"/>
                    </w:rPr>
                    <w:fldChar w:fldCharType="separate"/>
                  </w:r>
                  <w:r>
                    <w:rPr>
                      <w:noProof/>
                      <w:szCs w:val="20"/>
                    </w:rPr>
                    <w:t>50</w:t>
                  </w:r>
                  <w:r w:rsidR="00040D2C" w:rsidRPr="00420D62">
                    <w:rPr>
                      <w:szCs w:val="20"/>
                    </w:rPr>
                    <w:fldChar w:fldCharType="end"/>
                  </w:r>
                  <w:r w:rsidRPr="00420D62">
                    <w:rPr>
                      <w:szCs w:val="20"/>
                    </w:rPr>
                    <w:t xml:space="preserve"> </w:t>
                  </w:r>
                  <w:r>
                    <w:rPr>
                      <w:szCs w:val="20"/>
                      <w:lang w:val="mk-MK"/>
                    </w:rPr>
                    <w:t>К</w:t>
                  </w:r>
                  <w:r w:rsidRPr="00420D62">
                    <w:rPr>
                      <w:szCs w:val="20"/>
                    </w:rPr>
                    <w:t>аматоч</w:t>
                  </w:r>
                  <w:r>
                    <w:rPr>
                      <w:szCs w:val="20"/>
                    </w:rPr>
                    <w:t>увствителни</w:t>
                  </w:r>
                  <w:r>
                    <w:rPr>
                      <w:szCs w:val="20"/>
                      <w:lang w:val="mk-MK"/>
                    </w:rPr>
                    <w:t xml:space="preserve"> </w:t>
                  </w:r>
                  <w:r w:rsidRPr="00420D62">
                    <w:rPr>
                      <w:szCs w:val="20"/>
                    </w:rPr>
                    <w:t>средства</w:t>
                  </w:r>
                  <w:r>
                    <w:rPr>
                      <w:szCs w:val="20"/>
                      <w:lang w:val="mk-MK"/>
                    </w:rPr>
                    <w:t xml:space="preserve"> (горе) и обврски (долу), според типот на каматните стапки</w:t>
                  </w:r>
                </w:p>
                <w:p w:rsidR="006F63B5" w:rsidRPr="00DB04B5" w:rsidRDefault="006F63B5" w:rsidP="008E6D94">
                  <w:pPr>
                    <w:pBdr>
                      <w:top w:val="single" w:sz="4" w:space="0" w:color="auto"/>
                      <w:left w:val="single" w:sz="4" w:space="4" w:color="auto"/>
                      <w:bottom w:val="single" w:sz="4" w:space="1" w:color="auto"/>
                      <w:right w:val="single" w:sz="4" w:space="4" w:color="auto"/>
                    </w:pBdr>
                    <w:rPr>
                      <w:lang w:val="mk-MK"/>
                    </w:rPr>
                  </w:pPr>
                  <w:r w:rsidRPr="00FF1960">
                    <w:rPr>
                      <w:noProof/>
                    </w:rPr>
                    <w:drawing>
                      <wp:inline distT="0" distB="0" distL="0" distR="0">
                        <wp:extent cx="2635515" cy="3331597"/>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2637790" cy="3334473"/>
                                </a:xfrm>
                                <a:prstGeom prst="rect">
                                  <a:avLst/>
                                </a:prstGeom>
                                <a:noFill/>
                                <a:ln w="9525">
                                  <a:noFill/>
                                  <a:miter lim="800000"/>
                                  <a:headEnd/>
                                  <a:tailEnd/>
                                </a:ln>
                              </pic:spPr>
                            </pic:pic>
                          </a:graphicData>
                        </a:graphic>
                      </wp:inline>
                    </w:drawing>
                  </w:r>
                </w:p>
                <w:p w:rsidR="006F63B5" w:rsidRPr="00820E6E" w:rsidRDefault="006F63B5" w:rsidP="008E6D94">
                  <w:pPr>
                    <w:pStyle w:val="Caption"/>
                    <w:pBdr>
                      <w:top w:val="single" w:sz="4" w:space="0" w:color="auto"/>
                      <w:left w:val="single" w:sz="4" w:space="4" w:color="auto"/>
                      <w:bottom w:val="single" w:sz="4" w:space="1" w:color="auto"/>
                      <w:right w:val="single" w:sz="4" w:space="4" w:color="auto"/>
                    </w:pBdr>
                    <w:rPr>
                      <w:b w:val="0"/>
                      <w:sz w:val="18"/>
                      <w:szCs w:val="18"/>
                      <w:lang w:val="mk-MK"/>
                    </w:rPr>
                  </w:pPr>
                  <w:r w:rsidRPr="000C1F30">
                    <w:rPr>
                      <w:b w:val="0"/>
                      <w:sz w:val="18"/>
                      <w:szCs w:val="18"/>
                      <w:lang w:val="mk-MK"/>
                    </w:rPr>
                    <w:t>Извор:</w:t>
                  </w:r>
                  <w:r w:rsidRPr="000C1F30">
                    <w:rPr>
                      <w:rFonts w:cs="Tahoma"/>
                      <w:b w:val="0"/>
                      <w:sz w:val="18"/>
                      <w:szCs w:val="18"/>
                      <w:lang w:val="mk-MK"/>
                    </w:rPr>
                    <w:t xml:space="preserve"> Народната банка, врз основа на податоците доставени од страна на банките.</w:t>
                  </w:r>
                </w:p>
              </w:txbxContent>
            </v:textbox>
          </v:shape>
        </w:pict>
      </w:r>
      <w:r w:rsidR="006B54B5" w:rsidRPr="00B63768">
        <w:rPr>
          <w:lang w:val="mk-MK"/>
        </w:rPr>
        <w:t>Во првиот квартал од 2013 година,</w:t>
      </w:r>
      <w:r w:rsidR="00D22DB7" w:rsidRPr="00B63768">
        <w:rPr>
          <w:lang w:val="mk-MK"/>
        </w:rPr>
        <w:t xml:space="preserve"> </w:t>
      </w:r>
      <w:r w:rsidR="006B54B5" w:rsidRPr="00B63768">
        <w:rPr>
          <w:lang w:val="mk-MK"/>
        </w:rPr>
        <w:t xml:space="preserve">позициите со фиксни каматни стапки го зајакнаа своето учество во структурата на </w:t>
      </w:r>
      <w:r w:rsidR="00D22DB7" w:rsidRPr="00B63768">
        <w:rPr>
          <w:lang w:val="mk-MK"/>
        </w:rPr>
        <w:t>каматочувствителните</w:t>
      </w:r>
      <w:r w:rsidR="006B54B5" w:rsidRPr="00B63768">
        <w:rPr>
          <w:lang w:val="mk-MK"/>
        </w:rPr>
        <w:t xml:space="preserve"> средства</w:t>
      </w:r>
      <w:r w:rsidR="00D74A35" w:rsidRPr="00B63768">
        <w:rPr>
          <w:lang w:val="mk-MK"/>
        </w:rPr>
        <w:t xml:space="preserve"> (47,4%)</w:t>
      </w:r>
      <w:r w:rsidR="006B54B5" w:rsidRPr="00B63768">
        <w:rPr>
          <w:lang w:val="mk-MK"/>
        </w:rPr>
        <w:t>, пред с</w:t>
      </w:r>
      <w:r w:rsidR="006B54B5" w:rsidRPr="00B63768">
        <w:rPr>
          <w:rFonts w:cs="Tahoma"/>
          <w:lang w:val="mk-MK"/>
        </w:rPr>
        <w:t>è</w:t>
      </w:r>
      <w:r w:rsidR="006B54B5" w:rsidRPr="00B63768">
        <w:rPr>
          <w:lang w:val="mk-MK"/>
        </w:rPr>
        <w:t xml:space="preserve"> поради зголемувањето на позициите со фиксни каматни стапки кај средствата по видување и вложувањата во орочени депозити, како и кај кредитите (пред </w:t>
      </w:r>
      <w:r w:rsidR="006B54B5" w:rsidRPr="00B63768">
        <w:rPr>
          <w:rFonts w:cs="Tahoma"/>
          <w:color w:val="000000" w:themeColor="text1"/>
          <w:lang w:val="mk-MK"/>
        </w:rPr>
        <w:t>сè кредитите на домашните банки во странска валута и кредитите на домаќинствата)</w:t>
      </w:r>
      <w:r w:rsidR="006B54B5" w:rsidRPr="00B63768">
        <w:rPr>
          <w:lang w:val="mk-MK"/>
        </w:rPr>
        <w:t xml:space="preserve">. Исто така, значителна застапеност во структурата на </w:t>
      </w:r>
      <w:r w:rsidR="00D22DB7" w:rsidRPr="00B63768">
        <w:rPr>
          <w:lang w:val="mk-MK"/>
        </w:rPr>
        <w:t>каматочувствителните</w:t>
      </w:r>
      <w:r w:rsidR="006B54B5" w:rsidRPr="00B63768">
        <w:rPr>
          <w:lang w:val="mk-MK"/>
        </w:rPr>
        <w:t xml:space="preserve"> средства имаат и позициите со прилагодливи каматни стапки (42,9%), коишто, </w:t>
      </w:r>
      <w:r w:rsidR="00903199" w:rsidRPr="00B63768">
        <w:rPr>
          <w:lang w:val="mk-MK"/>
        </w:rPr>
        <w:t xml:space="preserve">и понатаму </w:t>
      </w:r>
      <w:r w:rsidR="00903199">
        <w:rPr>
          <w:lang w:val="mk-MK"/>
        </w:rPr>
        <w:t xml:space="preserve">се најзастапени во </w:t>
      </w:r>
      <w:r w:rsidR="006B54B5" w:rsidRPr="00B63768">
        <w:rPr>
          <w:lang w:val="mk-MK"/>
        </w:rPr>
        <w:t>структурата на каматочувствителните обврски (64,2%).</w:t>
      </w:r>
    </w:p>
    <w:p w:rsidR="006B54B5" w:rsidRPr="00B63768" w:rsidRDefault="006B54B5" w:rsidP="00D41027">
      <w:pPr>
        <w:ind w:firstLine="567"/>
        <w:rPr>
          <w:lang w:val="mk-MK"/>
        </w:rPr>
      </w:pPr>
    </w:p>
    <w:p w:rsidR="006B54B5" w:rsidRPr="00B63768" w:rsidRDefault="006B54B5" w:rsidP="00D41027">
      <w:pPr>
        <w:ind w:firstLine="567"/>
        <w:rPr>
          <w:lang w:val="mk-MK"/>
        </w:rPr>
      </w:pPr>
      <w:r w:rsidRPr="00B63768">
        <w:rPr>
          <w:lang w:val="mk-MK"/>
        </w:rPr>
        <w:t xml:space="preserve">Прилагодливите каматни стапки се целосно застапени кај депозитите по видување (99,9%), а имаат </w:t>
      </w:r>
      <w:r w:rsidR="00973A14" w:rsidRPr="00B63768">
        <w:rPr>
          <w:lang w:val="mk-MK"/>
        </w:rPr>
        <w:t xml:space="preserve">високо </w:t>
      </w:r>
      <w:r w:rsidRPr="00B63768">
        <w:rPr>
          <w:lang w:val="mk-MK"/>
        </w:rPr>
        <w:t>учество кај кредитите (70,5%) и орочените депозити (65,5%)</w:t>
      </w:r>
      <w:r w:rsidR="00EC0D00">
        <w:rPr>
          <w:lang w:val="mk-MK"/>
        </w:rPr>
        <w:t>,</w:t>
      </w:r>
      <w:r w:rsidRPr="00B63768">
        <w:rPr>
          <w:lang w:val="mk-MK"/>
        </w:rPr>
        <w:t xml:space="preserve"> како најзастапени финансиски инструменти во структурата на каматочувствителните средства и обврски на банките, соодветно. Кај останатите финансиски инструменти, коишто го формираат остатокот од каматочувствителните средства и обврски, преовладуваат фиксните каматни стапки.</w:t>
      </w:r>
    </w:p>
    <w:p w:rsidR="006B54B5" w:rsidRPr="00B63768" w:rsidRDefault="006B54B5" w:rsidP="00D41027">
      <w:pPr>
        <w:ind w:firstLine="567"/>
        <w:rPr>
          <w:lang w:val="mk-MK"/>
        </w:rPr>
      </w:pPr>
    </w:p>
    <w:p w:rsidR="009F40A4" w:rsidRPr="00B63768" w:rsidRDefault="006B54B5" w:rsidP="00D41027">
      <w:pPr>
        <w:ind w:firstLine="567"/>
        <w:rPr>
          <w:lang w:val="mk-MK"/>
        </w:rPr>
      </w:pPr>
      <w:r w:rsidRPr="00B63768">
        <w:rPr>
          <w:b/>
          <w:lang w:val="mk-MK"/>
        </w:rPr>
        <w:t>Јазот помеѓу каматочувствителните средства и обврски е позитивен кај позициите со фиксна и со променлива каматна стапка</w:t>
      </w:r>
      <w:r w:rsidRPr="00B63768">
        <w:rPr>
          <w:rStyle w:val="FootnoteReference"/>
          <w:b/>
          <w:lang w:val="mk-MK"/>
        </w:rPr>
        <w:footnoteReference w:id="40"/>
      </w:r>
      <w:r w:rsidRPr="00B63768">
        <w:rPr>
          <w:b/>
          <w:lang w:val="mk-MK"/>
        </w:rPr>
        <w:t>, а негативен кај позициите со прилагодлива каматна стапка</w:t>
      </w:r>
      <w:r w:rsidR="00B210DD" w:rsidRPr="00B63768">
        <w:rPr>
          <w:rStyle w:val="FootnoteReference"/>
          <w:lang w:val="mk-MK"/>
        </w:rPr>
        <w:footnoteReference w:id="41"/>
      </w:r>
      <w:r w:rsidRPr="00B63768">
        <w:rPr>
          <w:b/>
          <w:lang w:val="mk-MK"/>
        </w:rPr>
        <w:t>.</w:t>
      </w:r>
      <w:r w:rsidRPr="00B63768">
        <w:rPr>
          <w:lang w:val="mk-MK"/>
        </w:rPr>
        <w:t xml:space="preserve"> Кај позициите со фиксни каматни </w:t>
      </w:r>
      <w:r w:rsidRPr="00B63768">
        <w:rPr>
          <w:lang w:val="mk-MK"/>
        </w:rPr>
        <w:lastRenderedPageBreak/>
        <w:t xml:space="preserve">стапки </w:t>
      </w:r>
      <w:r w:rsidR="00EC0D00">
        <w:rPr>
          <w:lang w:val="mk-MK"/>
        </w:rPr>
        <w:t xml:space="preserve">е </w:t>
      </w:r>
      <w:r w:rsidRPr="00B63768">
        <w:rPr>
          <w:lang w:val="mk-MK"/>
        </w:rPr>
        <w:t xml:space="preserve">остварено проширување на </w:t>
      </w:r>
      <w:r w:rsidRPr="00B63768">
        <w:rPr>
          <w:rFonts w:cs="Tahoma"/>
          <w:lang w:val="mk-MK"/>
        </w:rPr>
        <w:t xml:space="preserve">јазот коешто се должи на поголемото зголемување на орочените депозити (пред </w:t>
      </w:r>
      <w:r w:rsidRPr="00B63768">
        <w:rPr>
          <w:rFonts w:cs="Tahoma"/>
          <w:color w:val="000000" w:themeColor="text1"/>
          <w:lang w:val="mk-MK"/>
        </w:rPr>
        <w:t xml:space="preserve">сè на краткорочните депозити во денари кај </w:t>
      </w:r>
      <w:r w:rsidR="00EC0D00">
        <w:rPr>
          <w:rFonts w:cs="Tahoma"/>
          <w:color w:val="000000" w:themeColor="text1"/>
          <w:lang w:val="mk-MK"/>
        </w:rPr>
        <w:t>ц</w:t>
      </w:r>
      <w:r w:rsidR="00EC0D00" w:rsidRPr="00B63768">
        <w:rPr>
          <w:rFonts w:cs="Tahoma"/>
          <w:color w:val="000000" w:themeColor="text1"/>
          <w:lang w:val="mk-MK"/>
        </w:rPr>
        <w:t xml:space="preserve">ентралната </w:t>
      </w:r>
      <w:r w:rsidRPr="00B63768">
        <w:rPr>
          <w:rFonts w:cs="Tahoma"/>
          <w:color w:val="000000" w:themeColor="text1"/>
          <w:lang w:val="mk-MK"/>
        </w:rPr>
        <w:t>банка) и</w:t>
      </w:r>
      <w:r w:rsidRPr="00B63768">
        <w:rPr>
          <w:lang w:val="mk-MK"/>
        </w:rPr>
        <w:t xml:space="preserve"> на кредитите со фиксни каматни стапки (пред </w:t>
      </w:r>
      <w:r w:rsidRPr="00B63768">
        <w:rPr>
          <w:rFonts w:cs="Tahoma"/>
          <w:color w:val="000000" w:themeColor="text1"/>
          <w:lang w:val="mk-MK"/>
        </w:rPr>
        <w:t xml:space="preserve">сè кредитите на домашните банки во странска валута и кредитите на домаќинствата), </w:t>
      </w:r>
      <w:r w:rsidRPr="00B63768">
        <w:rPr>
          <w:lang w:val="mk-MK"/>
        </w:rPr>
        <w:t xml:space="preserve">наспроти зголемувањето на обврските на банките врз основа на кредити со фиксни каматни стапки, </w:t>
      </w:r>
      <w:r w:rsidRPr="00B63768">
        <w:rPr>
          <w:rFonts w:cs="Tahoma"/>
          <w:lang w:val="mk-MK"/>
        </w:rPr>
        <w:t xml:space="preserve">како и на </w:t>
      </w:r>
      <w:r w:rsidRPr="00B63768">
        <w:rPr>
          <w:lang w:val="mk-MK"/>
        </w:rPr>
        <w:t xml:space="preserve">намалувањето на краткорочните депозити на претпријатијата во странска валута. </w:t>
      </w:r>
    </w:p>
    <w:p w:rsidR="009F40A4" w:rsidRPr="00B63768" w:rsidRDefault="00040D2C" w:rsidP="00D41027">
      <w:pPr>
        <w:ind w:firstLine="567"/>
        <w:rPr>
          <w:lang w:val="mk-MK"/>
        </w:rPr>
      </w:pPr>
      <w:r w:rsidRPr="00040D2C">
        <w:rPr>
          <w:rFonts w:cs="Tahoma"/>
          <w:lang w:val="mk-MK"/>
        </w:rPr>
        <w:pict>
          <v:shape id="_x0000_s1031" type="#_x0000_t202" style="position:absolute;left:0;text-align:left;margin-left:-227.2pt;margin-top:-179.95pt;width:222.1pt;height:234.75pt;z-index:251667456" stroked="f">
            <v:textbox style="mso-next-textbox:#_x0000_s1031">
              <w:txbxContent>
                <w:p w:rsidR="006F63B5" w:rsidRPr="007C6837" w:rsidRDefault="006F63B5" w:rsidP="006B54B5">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r w:rsidRPr="00420D62">
                    <w:rPr>
                      <w:szCs w:val="20"/>
                    </w:rPr>
                    <w:t>Графикон</w:t>
                  </w:r>
                  <w:r>
                    <w:rPr>
                      <w:szCs w:val="20"/>
                      <w:lang w:val="mk-MK"/>
                    </w:rPr>
                    <w:t xml:space="preserve"> </w:t>
                  </w:r>
                  <w:r w:rsidRPr="00420D62">
                    <w:rPr>
                      <w:szCs w:val="20"/>
                    </w:rPr>
                    <w:t xml:space="preserve">бр. </w:t>
                  </w:r>
                  <w:r w:rsidR="00040D2C" w:rsidRPr="00420D62">
                    <w:rPr>
                      <w:szCs w:val="20"/>
                    </w:rPr>
                    <w:fldChar w:fldCharType="begin"/>
                  </w:r>
                  <w:r w:rsidRPr="00420D62">
                    <w:rPr>
                      <w:szCs w:val="20"/>
                    </w:rPr>
                    <w:instrText xml:space="preserve"> SEQ Графикон_бр. \* ARABIC </w:instrText>
                  </w:r>
                  <w:r w:rsidR="00040D2C" w:rsidRPr="00420D62">
                    <w:rPr>
                      <w:szCs w:val="20"/>
                    </w:rPr>
                    <w:fldChar w:fldCharType="separate"/>
                  </w:r>
                  <w:r>
                    <w:rPr>
                      <w:noProof/>
                      <w:szCs w:val="20"/>
                    </w:rPr>
                    <w:t>51</w:t>
                  </w:r>
                  <w:r w:rsidR="00040D2C" w:rsidRPr="00420D62">
                    <w:rPr>
                      <w:szCs w:val="20"/>
                    </w:rPr>
                    <w:fldChar w:fldCharType="end"/>
                  </w:r>
                  <w:r w:rsidRPr="00420D62">
                    <w:rPr>
                      <w:szCs w:val="20"/>
                    </w:rPr>
                    <w:t xml:space="preserve"> </w:t>
                  </w:r>
                  <w:r>
                    <w:rPr>
                      <w:szCs w:val="20"/>
                      <w:lang w:val="mk-MK"/>
                    </w:rPr>
                    <w:t xml:space="preserve">Јаз помеѓу </w:t>
                  </w:r>
                  <w:r w:rsidRPr="00420D62">
                    <w:rPr>
                      <w:szCs w:val="20"/>
                    </w:rPr>
                    <w:t>каматочувствителните средства</w:t>
                  </w:r>
                  <w:r>
                    <w:rPr>
                      <w:szCs w:val="20"/>
                      <w:lang w:val="mk-MK"/>
                    </w:rPr>
                    <w:t xml:space="preserve"> и обврски, според типот на каматните стапки</w:t>
                  </w:r>
                </w:p>
                <w:p w:rsidR="006F63B5" w:rsidRPr="00DB04B5" w:rsidRDefault="006F63B5" w:rsidP="006B54B5">
                  <w:pPr>
                    <w:pBdr>
                      <w:top w:val="single" w:sz="4" w:space="1" w:color="auto"/>
                      <w:left w:val="single" w:sz="4" w:space="4" w:color="auto"/>
                      <w:bottom w:val="single" w:sz="4" w:space="1" w:color="auto"/>
                      <w:right w:val="single" w:sz="4" w:space="4" w:color="auto"/>
                    </w:pBdr>
                    <w:rPr>
                      <w:lang w:val="mk-MK"/>
                    </w:rPr>
                  </w:pPr>
                  <w:r w:rsidRPr="00646051">
                    <w:rPr>
                      <w:noProof/>
                    </w:rPr>
                    <w:drawing>
                      <wp:inline distT="0" distB="0" distL="0" distR="0">
                        <wp:extent cx="2636685" cy="194011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2637790" cy="1940932"/>
                                </a:xfrm>
                                <a:prstGeom prst="rect">
                                  <a:avLst/>
                                </a:prstGeom>
                                <a:noFill/>
                                <a:ln w="9525">
                                  <a:noFill/>
                                  <a:miter lim="800000"/>
                                  <a:headEnd/>
                                  <a:tailEnd/>
                                </a:ln>
                              </pic:spPr>
                            </pic:pic>
                          </a:graphicData>
                        </a:graphic>
                      </wp:inline>
                    </w:drawing>
                  </w:r>
                </w:p>
                <w:p w:rsidR="006F63B5" w:rsidRPr="00303B89" w:rsidRDefault="006F63B5" w:rsidP="006B54B5">
                  <w:pPr>
                    <w:pStyle w:val="Caption"/>
                    <w:pBdr>
                      <w:top w:val="single" w:sz="4" w:space="1" w:color="auto"/>
                      <w:left w:val="single" w:sz="4" w:space="4" w:color="auto"/>
                      <w:bottom w:val="single" w:sz="4" w:space="1" w:color="auto"/>
                      <w:right w:val="single" w:sz="4" w:space="4" w:color="auto"/>
                    </w:pBdr>
                    <w:rPr>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txbxContent>
            </v:textbox>
          </v:shape>
        </w:pict>
      </w:r>
    </w:p>
    <w:p w:rsidR="006B54B5" w:rsidRPr="00B63768" w:rsidRDefault="00040D2C" w:rsidP="00D41027">
      <w:pPr>
        <w:ind w:firstLine="567"/>
        <w:rPr>
          <w:lang w:val="mk-MK"/>
        </w:rPr>
      </w:pPr>
      <w:r w:rsidRPr="00040D2C">
        <w:rPr>
          <w:rFonts w:cs="Tahoma"/>
          <w:lang w:val="mk-MK"/>
        </w:rPr>
        <w:pict>
          <v:shape id="_x0000_s1146" type="#_x0000_t202" style="position:absolute;left:0;text-align:left;margin-left:-234.2pt;margin-top:79.45pt;width:222.1pt;height:231.05pt;z-index:251769856" stroked="f">
            <v:textbox style="mso-next-textbox:#_x0000_s1146">
              <w:txbxContent>
                <w:p w:rsidR="006F63B5" w:rsidRPr="00820E6E" w:rsidRDefault="006F63B5" w:rsidP="006B54B5">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r w:rsidRPr="00420D62">
                    <w:rPr>
                      <w:szCs w:val="20"/>
                    </w:rPr>
                    <w:t>Графикон</w:t>
                  </w:r>
                  <w:r>
                    <w:rPr>
                      <w:szCs w:val="20"/>
                      <w:lang w:val="mk-MK"/>
                    </w:rPr>
                    <w:t xml:space="preserve"> </w:t>
                  </w:r>
                  <w:r w:rsidRPr="00420D62">
                    <w:rPr>
                      <w:szCs w:val="20"/>
                    </w:rPr>
                    <w:t xml:space="preserve">бр. </w:t>
                  </w:r>
                  <w:r w:rsidR="00040D2C" w:rsidRPr="00420D62">
                    <w:rPr>
                      <w:szCs w:val="20"/>
                    </w:rPr>
                    <w:fldChar w:fldCharType="begin"/>
                  </w:r>
                  <w:r w:rsidRPr="00420D62">
                    <w:rPr>
                      <w:szCs w:val="20"/>
                    </w:rPr>
                    <w:instrText xml:space="preserve"> SEQ Графикон_бр. \* ARABIC </w:instrText>
                  </w:r>
                  <w:r w:rsidR="00040D2C" w:rsidRPr="00420D62">
                    <w:rPr>
                      <w:szCs w:val="20"/>
                    </w:rPr>
                    <w:fldChar w:fldCharType="separate"/>
                  </w:r>
                  <w:r>
                    <w:rPr>
                      <w:noProof/>
                      <w:szCs w:val="20"/>
                    </w:rPr>
                    <w:t>52</w:t>
                  </w:r>
                  <w:r w:rsidR="00040D2C" w:rsidRPr="00420D62">
                    <w:rPr>
                      <w:szCs w:val="20"/>
                    </w:rPr>
                    <w:fldChar w:fldCharType="end"/>
                  </w:r>
                  <w:r w:rsidRPr="00420D62">
                    <w:rPr>
                      <w:szCs w:val="20"/>
                    </w:rPr>
                    <w:t xml:space="preserve"> </w:t>
                  </w:r>
                  <w:r>
                    <w:rPr>
                      <w:szCs w:val="20"/>
                      <w:lang w:val="mk-MK"/>
                    </w:rPr>
                    <w:t>К</w:t>
                  </w:r>
                  <w:r w:rsidRPr="00420D62">
                    <w:rPr>
                      <w:szCs w:val="20"/>
                    </w:rPr>
                    <w:t>аматоч</w:t>
                  </w:r>
                  <w:r>
                    <w:rPr>
                      <w:szCs w:val="20"/>
                    </w:rPr>
                    <w:t>увствителни</w:t>
                  </w:r>
                  <w:r>
                    <w:rPr>
                      <w:szCs w:val="20"/>
                      <w:lang w:val="mk-MK"/>
                    </w:rPr>
                    <w:t xml:space="preserve"> </w:t>
                  </w:r>
                  <w:r w:rsidRPr="00420D62">
                    <w:rPr>
                      <w:szCs w:val="20"/>
                    </w:rPr>
                    <w:t>средства</w:t>
                  </w:r>
                  <w:r>
                    <w:rPr>
                      <w:szCs w:val="20"/>
                      <w:lang w:val="mk-MK"/>
                    </w:rPr>
                    <w:t xml:space="preserve"> и обврски, според рочноста и типот на каматните стапки</w:t>
                  </w:r>
                </w:p>
                <w:p w:rsidR="006F63B5" w:rsidRPr="00DB04B5" w:rsidRDefault="006F63B5" w:rsidP="006B54B5">
                  <w:pPr>
                    <w:pBdr>
                      <w:top w:val="single" w:sz="4" w:space="1" w:color="auto"/>
                      <w:left w:val="single" w:sz="4" w:space="4" w:color="auto"/>
                      <w:bottom w:val="single" w:sz="4" w:space="1" w:color="auto"/>
                      <w:right w:val="single" w:sz="4" w:space="4" w:color="auto"/>
                    </w:pBdr>
                    <w:rPr>
                      <w:lang w:val="mk-MK"/>
                    </w:rPr>
                  </w:pPr>
                  <w:r w:rsidRPr="00004D9E">
                    <w:rPr>
                      <w:noProof/>
                    </w:rPr>
                    <w:drawing>
                      <wp:inline distT="0" distB="0" distL="0" distR="0">
                        <wp:extent cx="2636685" cy="1995777"/>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2637790" cy="1996614"/>
                                </a:xfrm>
                                <a:prstGeom prst="rect">
                                  <a:avLst/>
                                </a:prstGeom>
                                <a:noFill/>
                                <a:ln w="9525">
                                  <a:noFill/>
                                  <a:miter lim="800000"/>
                                  <a:headEnd/>
                                  <a:tailEnd/>
                                </a:ln>
                              </pic:spPr>
                            </pic:pic>
                          </a:graphicData>
                        </a:graphic>
                      </wp:inline>
                    </w:drawing>
                  </w:r>
                </w:p>
                <w:p w:rsidR="006F63B5" w:rsidRPr="00303B89" w:rsidRDefault="006F63B5" w:rsidP="006B54B5">
                  <w:pPr>
                    <w:pStyle w:val="Caption"/>
                    <w:pBdr>
                      <w:top w:val="single" w:sz="4" w:space="1" w:color="auto"/>
                      <w:left w:val="single" w:sz="4" w:space="4" w:color="auto"/>
                      <w:bottom w:val="single" w:sz="4" w:space="1" w:color="auto"/>
                      <w:right w:val="single" w:sz="4" w:space="4" w:color="auto"/>
                    </w:pBdr>
                    <w:rPr>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txbxContent>
            </v:textbox>
          </v:shape>
        </w:pict>
      </w:r>
      <w:r w:rsidR="006B54B5" w:rsidRPr="00B63768">
        <w:rPr>
          <w:lang w:val="mk-MK"/>
        </w:rPr>
        <w:t>Проширувањето на негативниот јаз кај позициите со прилагодливи каматни стапки произлегува од намалувањето на долгорочните кредити на претпријатијата во денари со девизна клаузула на страната на активата и од позначителното зголемување на орочените депозити (пред</w:t>
      </w:r>
      <w:r w:rsidR="006B54B5" w:rsidRPr="00B63768">
        <w:rPr>
          <w:rFonts w:cs="Tahoma"/>
          <w:color w:val="000000" w:themeColor="text1"/>
          <w:lang w:val="mk-MK"/>
        </w:rPr>
        <w:t xml:space="preserve"> сè</w:t>
      </w:r>
      <w:r w:rsidR="006B54B5" w:rsidRPr="00B63768">
        <w:rPr>
          <w:lang w:val="mk-MK"/>
        </w:rPr>
        <w:t xml:space="preserve"> долгорочните депозити на домаќинствата во денари и во странска валута) на страната на пасивата. Меѓутоа, ова проширување не значи поголема изложеност на банкарскиот систем на ризикот од промена на каматните стапки, поради карактерот на овој вид каматни стапки, односно можноста банките да ги менуваат каматните стапки согласно со своите потреби.  </w:t>
      </w:r>
    </w:p>
    <w:p w:rsidR="006B54B5" w:rsidRPr="00B63768" w:rsidRDefault="006B54B5" w:rsidP="00D41027">
      <w:pPr>
        <w:ind w:firstLine="567"/>
        <w:rPr>
          <w:lang w:val="mk-MK"/>
        </w:rPr>
      </w:pPr>
    </w:p>
    <w:p w:rsidR="006B54B5" w:rsidRPr="00B63768" w:rsidRDefault="00EC0D00" w:rsidP="00D41027">
      <w:pPr>
        <w:ind w:firstLine="567"/>
        <w:rPr>
          <w:lang w:val="mk-MK"/>
        </w:rPr>
      </w:pPr>
      <w:r>
        <w:rPr>
          <w:lang w:val="mk-MK"/>
        </w:rPr>
        <w:t>Поради н</w:t>
      </w:r>
      <w:r w:rsidRPr="00B63768">
        <w:rPr>
          <w:lang w:val="mk-MK"/>
        </w:rPr>
        <w:t>амалување</w:t>
      </w:r>
      <w:r>
        <w:rPr>
          <w:lang w:val="mk-MK"/>
        </w:rPr>
        <w:t>то</w:t>
      </w:r>
      <w:r w:rsidRPr="00B63768">
        <w:rPr>
          <w:lang w:val="mk-MK"/>
        </w:rPr>
        <w:t xml:space="preserve"> </w:t>
      </w:r>
      <w:r w:rsidR="006B54B5" w:rsidRPr="00B63768">
        <w:rPr>
          <w:lang w:val="mk-MK"/>
        </w:rPr>
        <w:t xml:space="preserve">на кредитите </w:t>
      </w:r>
      <w:r w:rsidR="003A3B3E" w:rsidRPr="00B63768">
        <w:rPr>
          <w:lang w:val="mk-MK"/>
        </w:rPr>
        <w:t>со променливи каматни стапки на страната на активата</w:t>
      </w:r>
      <w:r w:rsidR="006B54B5" w:rsidRPr="00B63768">
        <w:rPr>
          <w:lang w:val="mk-MK"/>
        </w:rPr>
        <w:t xml:space="preserve"> и зголемувањето на обврските по видување (пред </w:t>
      </w:r>
      <w:r w:rsidR="006B54B5" w:rsidRPr="00B63768">
        <w:rPr>
          <w:rFonts w:cs="Tahoma"/>
          <w:color w:val="000000" w:themeColor="text1"/>
          <w:lang w:val="mk-MK"/>
        </w:rPr>
        <w:t xml:space="preserve">сè на тековните сметки и депозитите по видување во странска валута на претпријатијата) </w:t>
      </w:r>
      <w:r w:rsidR="006B54B5" w:rsidRPr="00B63768">
        <w:rPr>
          <w:lang w:val="mk-MK"/>
        </w:rPr>
        <w:t xml:space="preserve">на страната на пасивата, </w:t>
      </w:r>
      <w:r>
        <w:rPr>
          <w:lang w:val="mk-MK"/>
        </w:rPr>
        <w:t>се</w:t>
      </w:r>
      <w:r w:rsidRPr="00B63768">
        <w:rPr>
          <w:lang w:val="mk-MK"/>
        </w:rPr>
        <w:t xml:space="preserve"> </w:t>
      </w:r>
      <w:r w:rsidR="006B54B5" w:rsidRPr="00B63768">
        <w:rPr>
          <w:lang w:val="mk-MK"/>
        </w:rPr>
        <w:t>стесн</w:t>
      </w:r>
      <w:r>
        <w:rPr>
          <w:lang w:val="mk-MK"/>
        </w:rPr>
        <w:t>и</w:t>
      </w:r>
      <w:r w:rsidR="006B54B5" w:rsidRPr="00B63768">
        <w:rPr>
          <w:lang w:val="mk-MK"/>
        </w:rPr>
        <w:t xml:space="preserve"> јазот кај позициите со променливи (варијабилни) каматни стапки.</w:t>
      </w:r>
    </w:p>
    <w:p w:rsidR="006B54B5" w:rsidRPr="00B63768" w:rsidRDefault="006B54B5" w:rsidP="00D41027">
      <w:pPr>
        <w:ind w:firstLine="567"/>
        <w:rPr>
          <w:lang w:val="mk-MK"/>
        </w:rPr>
      </w:pPr>
    </w:p>
    <w:p w:rsidR="006B54B5" w:rsidRPr="00B63768" w:rsidRDefault="006B54B5" w:rsidP="00D41027">
      <w:pPr>
        <w:ind w:firstLine="567"/>
        <w:rPr>
          <w:lang w:val="mk-MK"/>
        </w:rPr>
      </w:pPr>
      <w:r w:rsidRPr="00B63768">
        <w:rPr>
          <w:lang w:val="mk-MK"/>
        </w:rPr>
        <w:t xml:space="preserve"> </w:t>
      </w:r>
      <w:r w:rsidR="00D22DB7" w:rsidRPr="00B63768">
        <w:rPr>
          <w:lang w:val="mk-MK"/>
        </w:rPr>
        <w:tab/>
      </w:r>
      <w:r w:rsidRPr="00B63768">
        <w:rPr>
          <w:b/>
          <w:lang w:val="mk-MK"/>
        </w:rPr>
        <w:t>Јазот (позитивен) помеѓу вкупните каматочувствителни средства и обврски е најголем кај рочниот сегмент од три до шест месеци и произлегува од нерамномерната застапеност на позициите со прилагодливи каматни стапки.</w:t>
      </w:r>
      <w:r w:rsidRPr="00B63768">
        <w:rPr>
          <w:lang w:val="mk-MK"/>
        </w:rPr>
        <w:t xml:space="preserve"> Овие каматни стапки </w:t>
      </w:r>
      <w:r w:rsidR="00DF10C2">
        <w:rPr>
          <w:lang w:val="mk-MK"/>
        </w:rPr>
        <w:t>се најзастапени</w:t>
      </w:r>
      <w:r w:rsidRPr="00B63768">
        <w:rPr>
          <w:lang w:val="mk-MK"/>
        </w:rPr>
        <w:t xml:space="preserve"> </w:t>
      </w:r>
      <w:r w:rsidR="00D22DB7" w:rsidRPr="00B63768">
        <w:rPr>
          <w:lang w:val="mk-MK"/>
        </w:rPr>
        <w:t>во речиси сите рочни сегменти</w:t>
      </w:r>
      <w:r w:rsidRPr="00B63768">
        <w:rPr>
          <w:lang w:val="mk-MK"/>
        </w:rPr>
        <w:t xml:space="preserve"> </w:t>
      </w:r>
      <w:r w:rsidR="00D22DB7" w:rsidRPr="00B63768">
        <w:rPr>
          <w:lang w:val="mk-MK"/>
        </w:rPr>
        <w:t xml:space="preserve">и кај средствата и кај обврските </w:t>
      </w:r>
      <w:r w:rsidRPr="00B63768">
        <w:rPr>
          <w:lang w:val="mk-MK"/>
        </w:rPr>
        <w:t>(и</w:t>
      </w:r>
      <w:r w:rsidR="00D22DB7" w:rsidRPr="00B63768">
        <w:rPr>
          <w:lang w:val="mk-MK"/>
        </w:rPr>
        <w:t xml:space="preserve">склучок се </w:t>
      </w:r>
      <w:r w:rsidR="00D22DB7" w:rsidRPr="00B63768">
        <w:rPr>
          <w:lang w:val="mk-MK"/>
        </w:rPr>
        <w:lastRenderedPageBreak/>
        <w:t>каматочувствителните средства во рочниот сегмент до еден месец</w:t>
      </w:r>
      <w:r w:rsidRPr="00B63768">
        <w:rPr>
          <w:lang w:val="mk-MK"/>
        </w:rPr>
        <w:t xml:space="preserve"> и </w:t>
      </w:r>
      <w:r w:rsidR="00D22DB7" w:rsidRPr="00B63768">
        <w:rPr>
          <w:lang w:val="mk-MK"/>
        </w:rPr>
        <w:t>каматочувствителните</w:t>
      </w:r>
      <w:r w:rsidRPr="00B63768">
        <w:rPr>
          <w:lang w:val="mk-MK"/>
        </w:rPr>
        <w:t xml:space="preserve"> средства и</w:t>
      </w:r>
      <w:r w:rsidR="00D22DB7" w:rsidRPr="00B63768">
        <w:rPr>
          <w:lang w:val="mk-MK"/>
        </w:rPr>
        <w:t xml:space="preserve"> обврски</w:t>
      </w:r>
      <w:r w:rsidRPr="00B63768">
        <w:rPr>
          <w:lang w:val="mk-MK"/>
        </w:rPr>
        <w:t xml:space="preserve"> во рочниот сегмент над една година,</w:t>
      </w:r>
      <w:r w:rsidR="00D22DB7" w:rsidRPr="00B63768">
        <w:rPr>
          <w:lang w:val="mk-MK"/>
        </w:rPr>
        <w:t xml:space="preserve"> каде што главното место го имаат позициите со фиксни каматни стапки</w:t>
      </w:r>
      <w:r w:rsidRPr="00B63768">
        <w:rPr>
          <w:lang w:val="mk-MK"/>
        </w:rPr>
        <w:t>)</w:t>
      </w:r>
      <w:r w:rsidR="00D22DB7" w:rsidRPr="00B63768">
        <w:rPr>
          <w:lang w:val="mk-MK"/>
        </w:rPr>
        <w:t xml:space="preserve">. </w:t>
      </w:r>
      <w:r w:rsidRPr="00B63768">
        <w:rPr>
          <w:lang w:val="mk-MK"/>
        </w:rPr>
        <w:t xml:space="preserve">Рочната структура на позициите со прилагодливи каматни стапки индиректно ги претставува очекувањата на банките за периодот до следното </w:t>
      </w:r>
      <w:r w:rsidRPr="00B63768">
        <w:rPr>
          <w:rFonts w:cs="Tahoma"/>
          <w:lang w:val="mk-MK"/>
        </w:rPr>
        <w:t>„</w:t>
      </w:r>
      <w:r w:rsidR="00DF10C2" w:rsidRPr="00B63768">
        <w:rPr>
          <w:lang w:val="mk-MK"/>
        </w:rPr>
        <w:t>при</w:t>
      </w:r>
      <w:r w:rsidR="00DF10C2">
        <w:rPr>
          <w:lang w:val="mk-MK"/>
        </w:rPr>
        <w:t>способ</w:t>
      </w:r>
      <w:r w:rsidR="00DF10C2" w:rsidRPr="00B63768">
        <w:rPr>
          <w:lang w:val="mk-MK"/>
        </w:rPr>
        <w:t>ување</w:t>
      </w:r>
      <w:r w:rsidRPr="00B63768">
        <w:rPr>
          <w:rFonts w:cs="Tahoma"/>
          <w:lang w:val="mk-MK"/>
        </w:rPr>
        <w:t>“</w:t>
      </w:r>
      <w:r w:rsidRPr="00B63768">
        <w:rPr>
          <w:lang w:val="mk-MK"/>
        </w:rPr>
        <w:t xml:space="preserve"> на висината на каматните стапки, коешто се очекува за три до шест месеци за средствата со прилагодливи каматни стапки, и за еден месец за обврските со прилагодливи каматни стапки.   </w:t>
      </w:r>
    </w:p>
    <w:p w:rsidR="006B54B5" w:rsidRPr="00B63768" w:rsidRDefault="006B54B5" w:rsidP="00D41027">
      <w:pPr>
        <w:ind w:firstLine="567"/>
        <w:rPr>
          <w:lang w:val="mk-MK"/>
        </w:rPr>
      </w:pPr>
    </w:p>
    <w:p w:rsidR="006B54B5" w:rsidRPr="00B63768" w:rsidRDefault="006B54B5" w:rsidP="00D41027">
      <w:pPr>
        <w:ind w:firstLine="567"/>
        <w:rPr>
          <w:lang w:val="mk-MK"/>
        </w:rPr>
      </w:pPr>
      <w:r w:rsidRPr="00B63768">
        <w:rPr>
          <w:lang w:val="mk-MK"/>
        </w:rPr>
        <w:t xml:space="preserve">Во останатите рочни сегменти (особено во рочните сегменти до еден месец, од еден до три месеци и над една година) постои висок степен на врамнотеженост помеѓу вкупните каматочувствителни средства и обврски. </w:t>
      </w:r>
    </w:p>
    <w:p w:rsidR="006B54B5" w:rsidRPr="00B63768" w:rsidRDefault="006B54B5" w:rsidP="006B54B5">
      <w:pPr>
        <w:rPr>
          <w:lang w:val="mk-MK"/>
        </w:rPr>
      </w:pPr>
    </w:p>
    <w:p w:rsidR="006B54B5" w:rsidRPr="00B63768" w:rsidRDefault="00040D2C" w:rsidP="003B2315">
      <w:pPr>
        <w:pStyle w:val="Heading3"/>
      </w:pPr>
      <w:bookmarkStart w:id="64" w:name="_Toc362007062"/>
      <w:r w:rsidRPr="00040D2C">
        <w:pict>
          <v:shape id="_x0000_s1034" type="#_x0000_t202" style="position:absolute;left:0;text-align:left;margin-left:-232.8pt;margin-top:6.55pt;width:222.1pt;height:276.25pt;z-index:251670528" stroked="f">
            <v:textbox style="mso-next-textbox:#_x0000_s1034">
              <w:txbxContent>
                <w:p w:rsidR="006F63B5" w:rsidRPr="00820E6E" w:rsidRDefault="006F63B5" w:rsidP="006B54B5">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r w:rsidRPr="00420D62">
                    <w:rPr>
                      <w:szCs w:val="20"/>
                    </w:rPr>
                    <w:t>Графикон</w:t>
                  </w:r>
                  <w:r>
                    <w:rPr>
                      <w:szCs w:val="20"/>
                      <w:lang w:val="mk-MK"/>
                    </w:rPr>
                    <w:t xml:space="preserve"> </w:t>
                  </w:r>
                  <w:r w:rsidRPr="00420D62">
                    <w:rPr>
                      <w:szCs w:val="20"/>
                    </w:rPr>
                    <w:t xml:space="preserve">бр. </w:t>
                  </w:r>
                  <w:r w:rsidR="00040D2C" w:rsidRPr="00420D62">
                    <w:rPr>
                      <w:szCs w:val="20"/>
                    </w:rPr>
                    <w:fldChar w:fldCharType="begin"/>
                  </w:r>
                  <w:r w:rsidRPr="00420D62">
                    <w:rPr>
                      <w:szCs w:val="20"/>
                    </w:rPr>
                    <w:instrText xml:space="preserve"> SEQ Графикон_бр. \* ARABIC </w:instrText>
                  </w:r>
                  <w:r w:rsidR="00040D2C" w:rsidRPr="00420D62">
                    <w:rPr>
                      <w:szCs w:val="20"/>
                    </w:rPr>
                    <w:fldChar w:fldCharType="separate"/>
                  </w:r>
                  <w:r>
                    <w:rPr>
                      <w:noProof/>
                      <w:szCs w:val="20"/>
                    </w:rPr>
                    <w:t>53</w:t>
                  </w:r>
                  <w:r w:rsidR="00040D2C" w:rsidRPr="00420D62">
                    <w:rPr>
                      <w:szCs w:val="20"/>
                    </w:rPr>
                    <w:fldChar w:fldCharType="end"/>
                  </w:r>
                  <w:r w:rsidRPr="00420D62">
                    <w:rPr>
                      <w:szCs w:val="20"/>
                    </w:rPr>
                    <w:t xml:space="preserve"> </w:t>
                  </w:r>
                  <w:r>
                    <w:rPr>
                      <w:szCs w:val="20"/>
                      <w:lang w:val="mk-MK"/>
                    </w:rPr>
                    <w:t>Нето пондерирана вредност (лева скала) и однос на вкупната пондерирана вредност на портфолиото на банкарски активности и сопствените средства (десна скала), според типот на каматните стапки</w:t>
                  </w:r>
                </w:p>
                <w:p w:rsidR="006F63B5" w:rsidRPr="00DB04B5" w:rsidRDefault="006F63B5" w:rsidP="006B54B5">
                  <w:pPr>
                    <w:pBdr>
                      <w:top w:val="single" w:sz="4" w:space="1" w:color="auto"/>
                      <w:left w:val="single" w:sz="4" w:space="4" w:color="auto"/>
                      <w:bottom w:val="single" w:sz="4" w:space="1" w:color="auto"/>
                      <w:right w:val="single" w:sz="4" w:space="4" w:color="auto"/>
                    </w:pBdr>
                    <w:rPr>
                      <w:lang w:val="mk-MK"/>
                    </w:rPr>
                  </w:pPr>
                  <w:r w:rsidRPr="00920807">
                    <w:rPr>
                      <w:noProof/>
                    </w:rPr>
                    <w:drawing>
                      <wp:inline distT="0" distB="0" distL="0" distR="0">
                        <wp:extent cx="2636685" cy="21309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2637790" cy="2131843"/>
                                </a:xfrm>
                                <a:prstGeom prst="rect">
                                  <a:avLst/>
                                </a:prstGeom>
                                <a:noFill/>
                                <a:ln w="9525">
                                  <a:noFill/>
                                  <a:miter lim="800000"/>
                                  <a:headEnd/>
                                  <a:tailEnd/>
                                </a:ln>
                              </pic:spPr>
                            </pic:pic>
                          </a:graphicData>
                        </a:graphic>
                      </wp:inline>
                    </w:drawing>
                  </w:r>
                </w:p>
                <w:p w:rsidR="006F63B5" w:rsidRPr="00303B89" w:rsidRDefault="006F63B5" w:rsidP="006B54B5">
                  <w:pPr>
                    <w:pStyle w:val="Caption"/>
                    <w:pBdr>
                      <w:top w:val="single" w:sz="4" w:space="1" w:color="auto"/>
                      <w:left w:val="single" w:sz="4" w:space="4" w:color="auto"/>
                      <w:bottom w:val="single" w:sz="4" w:space="1" w:color="auto"/>
                      <w:right w:val="single" w:sz="4" w:space="4" w:color="auto"/>
                    </w:pBdr>
                    <w:rPr>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txbxContent>
            </v:textbox>
          </v:shape>
        </w:pict>
      </w:r>
      <w:r w:rsidR="006B54B5" w:rsidRPr="00B63768">
        <w:t>Пондерирана вредност на портфолиото на банкарски активности</w:t>
      </w:r>
      <w:bookmarkEnd w:id="64"/>
    </w:p>
    <w:p w:rsidR="006B54B5" w:rsidRPr="00B63768" w:rsidRDefault="006B54B5" w:rsidP="006B54B5">
      <w:pPr>
        <w:rPr>
          <w:lang w:val="mk-MK"/>
        </w:rPr>
      </w:pPr>
    </w:p>
    <w:p w:rsidR="006B54B5" w:rsidRPr="00B63768" w:rsidRDefault="006B54B5" w:rsidP="006B54B5">
      <w:pPr>
        <w:ind w:firstLine="567"/>
        <w:rPr>
          <w:lang w:val="mk-MK"/>
        </w:rPr>
      </w:pPr>
      <w:r w:rsidRPr="00B63768">
        <w:rPr>
          <w:lang w:val="mk-MK"/>
        </w:rPr>
        <w:t>И</w:t>
      </w:r>
      <w:r w:rsidR="00D22DB7" w:rsidRPr="00B63768">
        <w:rPr>
          <w:lang w:val="mk-MK"/>
        </w:rPr>
        <w:t xml:space="preserve"> покрај тоа што на 31.3.201</w:t>
      </w:r>
      <w:r w:rsidRPr="00B63768">
        <w:rPr>
          <w:lang w:val="mk-MK"/>
        </w:rPr>
        <w:t>3</w:t>
      </w:r>
      <w:r w:rsidR="00D22DB7" w:rsidRPr="00B63768">
        <w:rPr>
          <w:lang w:val="mk-MK"/>
        </w:rPr>
        <w:t xml:space="preserve"> година вкупната пондерирана вредност на портфолиото на банкарски активности </w:t>
      </w:r>
      <w:r w:rsidRPr="00B63768">
        <w:rPr>
          <w:lang w:val="mk-MK"/>
        </w:rPr>
        <w:t xml:space="preserve">забележа зголемување </w:t>
      </w:r>
      <w:r w:rsidR="00D22DB7" w:rsidRPr="00B63768">
        <w:rPr>
          <w:lang w:val="mk-MK"/>
        </w:rPr>
        <w:t>(</w:t>
      </w:r>
      <w:r w:rsidRPr="00B63768">
        <w:rPr>
          <w:lang w:val="mk-MK"/>
        </w:rPr>
        <w:t>за 91</w:t>
      </w:r>
      <w:r w:rsidR="00D22DB7" w:rsidRPr="00B63768">
        <w:rPr>
          <w:lang w:val="mk-MK"/>
        </w:rPr>
        <w:t xml:space="preserve"> милион денари)</w:t>
      </w:r>
      <w:r w:rsidRPr="00B63768">
        <w:rPr>
          <w:lang w:val="mk-MK"/>
        </w:rPr>
        <w:t xml:space="preserve">, таа и понатаму не е релевантен показател за изложеноста на банките на ризикот од промена на каматните стапки, </w:t>
      </w:r>
      <w:r w:rsidR="00DF10C2">
        <w:rPr>
          <w:lang w:val="mk-MK"/>
        </w:rPr>
        <w:t>бидејќи</w:t>
      </w:r>
      <w:r w:rsidRPr="00B63768">
        <w:rPr>
          <w:lang w:val="mk-MK"/>
        </w:rPr>
        <w:t xml:space="preserve"> најголемиот дел од позитивната</w:t>
      </w:r>
      <w:r w:rsidR="00D22DB7" w:rsidRPr="00B63768">
        <w:rPr>
          <w:lang w:val="mk-MK"/>
        </w:rPr>
        <w:t xml:space="preserve"> пондерирана вредност на портфолиото на банкарски активности</w:t>
      </w:r>
      <w:r w:rsidRPr="00B63768">
        <w:rPr>
          <w:lang w:val="mk-MK"/>
        </w:rPr>
        <w:t xml:space="preserve"> произлегува од пондерираната позиција со прилагодлива каматна стапка. </w:t>
      </w:r>
    </w:p>
    <w:p w:rsidR="006B54B5" w:rsidRPr="00B63768" w:rsidRDefault="006B54B5" w:rsidP="006B54B5">
      <w:pPr>
        <w:ind w:firstLine="567"/>
        <w:rPr>
          <w:lang w:val="mk-MK"/>
        </w:rPr>
      </w:pPr>
    </w:p>
    <w:p w:rsidR="006D6DFA" w:rsidRPr="00B63768" w:rsidRDefault="006D6DFA" w:rsidP="006B54B5">
      <w:pPr>
        <w:ind w:firstLine="567"/>
        <w:rPr>
          <w:lang w:val="mk-MK"/>
        </w:rPr>
      </w:pPr>
    </w:p>
    <w:p w:rsidR="006D6DFA" w:rsidRPr="00B63768" w:rsidRDefault="006D6DFA" w:rsidP="006B54B5">
      <w:pPr>
        <w:ind w:firstLine="567"/>
        <w:rPr>
          <w:lang w:val="mk-MK"/>
        </w:rPr>
      </w:pPr>
    </w:p>
    <w:p w:rsidR="006D6DFA" w:rsidRPr="00B63768" w:rsidRDefault="006D6DFA" w:rsidP="006B54B5">
      <w:pPr>
        <w:ind w:firstLine="567"/>
        <w:rPr>
          <w:lang w:val="mk-MK"/>
        </w:rPr>
      </w:pPr>
    </w:p>
    <w:p w:rsidR="006D6DFA" w:rsidRPr="00B63768" w:rsidRDefault="006D6DFA" w:rsidP="006B54B5">
      <w:pPr>
        <w:ind w:firstLine="567"/>
        <w:rPr>
          <w:lang w:val="mk-MK"/>
        </w:rPr>
      </w:pPr>
    </w:p>
    <w:p w:rsidR="006D6DFA" w:rsidRPr="00B63768" w:rsidRDefault="006D6DFA" w:rsidP="006B54B5">
      <w:pPr>
        <w:ind w:firstLine="567"/>
        <w:rPr>
          <w:lang w:val="mk-MK"/>
        </w:rPr>
      </w:pPr>
    </w:p>
    <w:p w:rsidR="000A525F" w:rsidRDefault="000A525F" w:rsidP="006B54B5">
      <w:pPr>
        <w:ind w:firstLine="567"/>
        <w:rPr>
          <w:lang w:val="mk-MK"/>
        </w:rPr>
      </w:pPr>
    </w:p>
    <w:p w:rsidR="006B54B5" w:rsidRPr="00B63768" w:rsidRDefault="00040D2C" w:rsidP="006B54B5">
      <w:pPr>
        <w:ind w:firstLine="567"/>
        <w:rPr>
          <w:lang w:val="mk-MK"/>
        </w:rPr>
      </w:pPr>
      <w:r w:rsidRPr="00040D2C">
        <w:rPr>
          <w:lang w:val="mk-MK"/>
        </w:rPr>
        <w:lastRenderedPageBreak/>
        <w:pict>
          <v:shape id="_x0000_s1035" type="#_x0000_t202" style="position:absolute;left:0;text-align:left;margin-left:-229.9pt;margin-top:-9.6pt;width:222.1pt;height:274.85pt;z-index:251671552" stroked="f">
            <v:textbox style="mso-next-textbox:#_x0000_s1035">
              <w:txbxContent>
                <w:p w:rsidR="006F63B5" w:rsidRPr="00820E6E" w:rsidRDefault="006F63B5" w:rsidP="006B54B5">
                  <w:pPr>
                    <w:pStyle w:val="Caption"/>
                    <w:pBdr>
                      <w:top w:val="single" w:sz="4" w:space="1" w:color="auto"/>
                      <w:left w:val="single" w:sz="4" w:space="4" w:color="auto"/>
                      <w:bottom w:val="single" w:sz="4" w:space="1" w:color="auto"/>
                      <w:right w:val="single" w:sz="4" w:space="4" w:color="auto"/>
                    </w:pBdr>
                    <w:tabs>
                      <w:tab w:val="left" w:pos="90"/>
                    </w:tabs>
                    <w:rPr>
                      <w:szCs w:val="20"/>
                      <w:lang w:val="mk-MK"/>
                    </w:rPr>
                  </w:pPr>
                  <w:r w:rsidRPr="00420D62">
                    <w:rPr>
                      <w:szCs w:val="20"/>
                    </w:rPr>
                    <w:t>Графикон</w:t>
                  </w:r>
                  <w:r>
                    <w:rPr>
                      <w:szCs w:val="20"/>
                      <w:lang w:val="mk-MK"/>
                    </w:rPr>
                    <w:t xml:space="preserve"> </w:t>
                  </w:r>
                  <w:r w:rsidRPr="00420D62">
                    <w:rPr>
                      <w:szCs w:val="20"/>
                    </w:rPr>
                    <w:t xml:space="preserve">бр. </w:t>
                  </w:r>
                  <w:r w:rsidR="00040D2C" w:rsidRPr="00420D62">
                    <w:rPr>
                      <w:szCs w:val="20"/>
                    </w:rPr>
                    <w:fldChar w:fldCharType="begin"/>
                  </w:r>
                  <w:r w:rsidRPr="00420D62">
                    <w:rPr>
                      <w:szCs w:val="20"/>
                    </w:rPr>
                    <w:instrText xml:space="preserve"> SEQ Графикон_бр. \* ARABIC </w:instrText>
                  </w:r>
                  <w:r w:rsidR="00040D2C" w:rsidRPr="00420D62">
                    <w:rPr>
                      <w:szCs w:val="20"/>
                    </w:rPr>
                    <w:fldChar w:fldCharType="separate"/>
                  </w:r>
                  <w:r>
                    <w:rPr>
                      <w:noProof/>
                      <w:szCs w:val="20"/>
                    </w:rPr>
                    <w:t>54</w:t>
                  </w:r>
                  <w:r w:rsidR="00040D2C" w:rsidRPr="00420D62">
                    <w:rPr>
                      <w:szCs w:val="20"/>
                    </w:rPr>
                    <w:fldChar w:fldCharType="end"/>
                  </w:r>
                  <w:r w:rsidRPr="00420D62">
                    <w:rPr>
                      <w:szCs w:val="20"/>
                    </w:rPr>
                    <w:t xml:space="preserve"> </w:t>
                  </w:r>
                  <w:r>
                    <w:rPr>
                      <w:szCs w:val="20"/>
                      <w:lang w:val="mk-MK"/>
                    </w:rPr>
                    <w:t>Сооднос меѓу вкупната пондерирана вредност на портфолиото на банкарски активности и сопствените средства, според типот на каматната стапка, валутата и рочните сегменти</w:t>
                  </w:r>
                </w:p>
                <w:p w:rsidR="006F63B5" w:rsidRPr="00DB04B5" w:rsidRDefault="006F63B5" w:rsidP="006B54B5">
                  <w:pPr>
                    <w:pBdr>
                      <w:top w:val="single" w:sz="4" w:space="1" w:color="auto"/>
                      <w:left w:val="single" w:sz="4" w:space="4" w:color="auto"/>
                      <w:bottom w:val="single" w:sz="4" w:space="1" w:color="auto"/>
                      <w:right w:val="single" w:sz="4" w:space="4" w:color="auto"/>
                    </w:pBdr>
                    <w:rPr>
                      <w:lang w:val="mk-MK"/>
                    </w:rPr>
                  </w:pPr>
                  <w:r w:rsidRPr="00060AEB">
                    <w:rPr>
                      <w:noProof/>
                    </w:rPr>
                    <w:drawing>
                      <wp:inline distT="0" distB="0" distL="0" distR="0">
                        <wp:extent cx="2636685" cy="2146852"/>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2637790" cy="2147752"/>
                                </a:xfrm>
                                <a:prstGeom prst="rect">
                                  <a:avLst/>
                                </a:prstGeom>
                                <a:noFill/>
                                <a:ln w="9525">
                                  <a:noFill/>
                                  <a:miter lim="800000"/>
                                  <a:headEnd/>
                                  <a:tailEnd/>
                                </a:ln>
                              </pic:spPr>
                            </pic:pic>
                          </a:graphicData>
                        </a:graphic>
                      </wp:inline>
                    </w:drawing>
                  </w:r>
                </w:p>
                <w:p w:rsidR="006F63B5" w:rsidRPr="00303B89" w:rsidRDefault="006F63B5" w:rsidP="006B54B5">
                  <w:pPr>
                    <w:pStyle w:val="Caption"/>
                    <w:pBdr>
                      <w:top w:val="single" w:sz="4" w:space="1" w:color="auto"/>
                      <w:left w:val="single" w:sz="4" w:space="4" w:color="auto"/>
                      <w:bottom w:val="single" w:sz="4" w:space="1" w:color="auto"/>
                      <w:right w:val="single" w:sz="4" w:space="4" w:color="auto"/>
                    </w:pBdr>
                    <w:rPr>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txbxContent>
            </v:textbox>
          </v:shape>
        </w:pict>
      </w:r>
      <w:r w:rsidR="006B54B5" w:rsidRPr="00B63768">
        <w:rPr>
          <w:lang w:val="mk-MK"/>
        </w:rPr>
        <w:t>Вкупната пондерирана вредност на портфолиото на банкарски активности</w:t>
      </w:r>
      <w:r w:rsidR="006B54B5" w:rsidRPr="00B63768">
        <w:rPr>
          <w:rStyle w:val="FootnoteReference"/>
          <w:lang w:val="mk-MK"/>
        </w:rPr>
        <w:footnoteReference w:id="42"/>
      </w:r>
      <w:r w:rsidR="006B54B5" w:rsidRPr="00B63768">
        <w:rPr>
          <w:lang w:val="mk-MK"/>
        </w:rPr>
        <w:t xml:space="preserve"> зафаќа само 1,3% од сопствените средства на банкарскиот систем, а по одделни банки, соодносот меѓу вкупната пондерирана вредност и сопствените средства се движи во интервал од 0,1% до 10,1%, со медијана од 2,2%. Овој однос и понатаму ќе биде на ниско ниво</w:t>
      </w:r>
      <w:r w:rsidR="006B54B5" w:rsidRPr="00B63768">
        <w:rPr>
          <w:rFonts w:cs="Tahoma"/>
          <w:color w:val="000000" w:themeColor="text1"/>
          <w:lang w:val="mk-MK"/>
        </w:rPr>
        <w:t xml:space="preserve"> сè додека не постојат ограничувања (пр. регулаторни)</w:t>
      </w:r>
      <w:r w:rsidR="006B54B5" w:rsidRPr="00B63768">
        <w:rPr>
          <w:rStyle w:val="FootnoteReference"/>
          <w:lang w:val="mk-MK"/>
        </w:rPr>
        <w:footnoteReference w:id="43"/>
      </w:r>
      <w:r w:rsidR="006B54B5" w:rsidRPr="00B63768">
        <w:rPr>
          <w:lang w:val="mk-MK"/>
        </w:rPr>
        <w:t xml:space="preserve"> на можноста за употреба на прилагодливите каматни стапки во кредитните и депозитните производи. </w:t>
      </w:r>
    </w:p>
    <w:p w:rsidR="00D41027" w:rsidRPr="00B63768" w:rsidRDefault="00D41027" w:rsidP="00A57417">
      <w:pPr>
        <w:rPr>
          <w:lang w:val="mk-MK"/>
        </w:rPr>
      </w:pPr>
    </w:p>
    <w:p w:rsidR="006D6DFA" w:rsidRPr="00B63768" w:rsidRDefault="006D6DFA" w:rsidP="00A57417">
      <w:pPr>
        <w:rPr>
          <w:lang w:val="mk-MK"/>
        </w:rPr>
      </w:pPr>
    </w:p>
    <w:p w:rsidR="006D6DFA" w:rsidRPr="00B63768" w:rsidRDefault="006D6DFA" w:rsidP="00A57417">
      <w:pPr>
        <w:rPr>
          <w:lang w:val="mk-MK"/>
        </w:rPr>
      </w:pPr>
    </w:p>
    <w:p w:rsidR="006D6DFA" w:rsidRPr="00B63768" w:rsidRDefault="006D6DFA" w:rsidP="00A57417">
      <w:pPr>
        <w:rPr>
          <w:lang w:val="mk-MK"/>
        </w:rPr>
      </w:pPr>
    </w:p>
    <w:p w:rsidR="006D6DFA" w:rsidRPr="00B63768" w:rsidRDefault="006D6DFA" w:rsidP="00A57417">
      <w:pPr>
        <w:rPr>
          <w:lang w:val="mk-MK"/>
        </w:rPr>
      </w:pPr>
    </w:p>
    <w:p w:rsidR="006D6DFA" w:rsidRPr="00B63768" w:rsidRDefault="006D6DFA" w:rsidP="00A57417">
      <w:pPr>
        <w:rPr>
          <w:lang w:val="mk-MK"/>
        </w:rPr>
      </w:pPr>
    </w:p>
    <w:p w:rsidR="00973A14" w:rsidRPr="00B63768" w:rsidRDefault="00973A14" w:rsidP="00A57417">
      <w:pPr>
        <w:rPr>
          <w:lang w:val="mk-MK"/>
        </w:rPr>
      </w:pPr>
    </w:p>
    <w:p w:rsidR="00973A14" w:rsidRPr="00B63768" w:rsidRDefault="00973A14" w:rsidP="00A57417">
      <w:pPr>
        <w:rPr>
          <w:lang w:val="mk-MK"/>
        </w:rPr>
      </w:pPr>
    </w:p>
    <w:p w:rsidR="00973A14" w:rsidRPr="00B63768" w:rsidRDefault="00973A14" w:rsidP="00A57417">
      <w:pPr>
        <w:rPr>
          <w:lang w:val="mk-MK"/>
        </w:rPr>
      </w:pPr>
    </w:p>
    <w:p w:rsidR="001870F7" w:rsidRPr="00B63768" w:rsidRDefault="001870F7" w:rsidP="003B2315">
      <w:pPr>
        <w:pStyle w:val="Heading2"/>
      </w:pPr>
      <w:bookmarkStart w:id="65" w:name="_Toc362007063"/>
      <w:r w:rsidRPr="00B63768">
        <w:t>Ризик од несолвентност</w:t>
      </w:r>
      <w:bookmarkEnd w:id="65"/>
    </w:p>
    <w:p w:rsidR="00116403" w:rsidRPr="00B63768" w:rsidRDefault="00116403" w:rsidP="00116403">
      <w:pPr>
        <w:ind w:left="-4536" w:firstLine="810"/>
        <w:rPr>
          <w:rFonts w:cs="Tahoma"/>
          <w:b/>
          <w:bCs/>
          <w:lang w:val="mk-MK"/>
        </w:rPr>
      </w:pPr>
      <w:bookmarkStart w:id="66" w:name="_Toc296501675"/>
      <w:bookmarkStart w:id="67" w:name="_Toc296501763"/>
      <w:bookmarkStart w:id="68" w:name="_Toc296502423"/>
      <w:bookmarkStart w:id="69" w:name="_Toc296503396"/>
      <w:bookmarkStart w:id="70" w:name="_Toc296503442"/>
      <w:bookmarkStart w:id="71" w:name="_Toc296505749"/>
      <w:bookmarkStart w:id="72" w:name="_Toc297124655"/>
      <w:bookmarkStart w:id="73" w:name="_Toc297125064"/>
      <w:bookmarkStart w:id="74" w:name="_Toc303001258"/>
      <w:bookmarkStart w:id="75" w:name="_Toc304962776"/>
      <w:bookmarkStart w:id="76" w:name="_Toc304963610"/>
      <w:bookmarkStart w:id="77" w:name="_Toc311556857"/>
      <w:bookmarkStart w:id="78" w:name="_Toc311556899"/>
      <w:bookmarkStart w:id="79" w:name="_Toc311557319"/>
      <w:bookmarkStart w:id="80" w:name="_Toc303001259"/>
      <w:bookmarkStart w:id="81" w:name="_Toc304962777"/>
      <w:bookmarkStart w:id="82" w:name="_Toc304963611"/>
      <w:bookmarkStart w:id="83" w:name="_Toc311556858"/>
      <w:bookmarkStart w:id="84" w:name="_Toc311556900"/>
      <w:bookmarkStart w:id="85" w:name="_Toc31155732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116403" w:rsidRPr="00B63768" w:rsidRDefault="00116403" w:rsidP="00116403">
      <w:pPr>
        <w:ind w:left="-4536" w:firstLine="810"/>
        <w:rPr>
          <w:rFonts w:cs="Tahoma"/>
          <w:b/>
          <w:bCs/>
          <w:lang w:val="mk-MK"/>
        </w:rPr>
      </w:pPr>
      <w:r w:rsidRPr="00B63768">
        <w:rPr>
          <w:rFonts w:cs="Tahoma"/>
          <w:b/>
          <w:bCs/>
          <w:lang w:val="mk-MK"/>
        </w:rPr>
        <w:t xml:space="preserve">Стапката на адекватност на капиталот и показателот за учеството на основниот капитал во активата пондерирана според ризиците бележат извесен квартален раст, додека стапката на капитализираност на банкарскиот систем минимално се намали. Сопствените средства на банките забележаа намалување, што е последица на остварениот негативен финансиски резултат во првиот квартал од 2013 година. </w:t>
      </w:r>
      <w:r w:rsidR="00A35985" w:rsidRPr="00B63768">
        <w:rPr>
          <w:rFonts w:cs="Tahoma"/>
          <w:b/>
          <w:bCs/>
          <w:lang w:val="mk-MK"/>
        </w:rPr>
        <w:t>К</w:t>
      </w:r>
      <w:r w:rsidRPr="00B63768">
        <w:rPr>
          <w:rFonts w:cs="Tahoma"/>
          <w:b/>
          <w:bCs/>
          <w:lang w:val="mk-MK"/>
        </w:rPr>
        <w:t xml:space="preserve">вартален пад забележаа </w:t>
      </w:r>
      <w:r w:rsidR="00A35985" w:rsidRPr="00B63768">
        <w:rPr>
          <w:rFonts w:cs="Tahoma"/>
          <w:b/>
          <w:bCs/>
          <w:lang w:val="mk-MK"/>
        </w:rPr>
        <w:t xml:space="preserve">и </w:t>
      </w:r>
      <w:r w:rsidRPr="00B63768">
        <w:rPr>
          <w:rFonts w:cs="Tahoma"/>
          <w:b/>
          <w:bCs/>
          <w:lang w:val="mk-MK"/>
        </w:rPr>
        <w:t>капиталните барања за покривање на ризиците, што произлегува од стеснувањето на нето девизната позиција во евра и од кварталното намалување на вкупните побарувања од трговски</w:t>
      </w:r>
      <w:r w:rsidR="003A3B3E" w:rsidRPr="00B63768">
        <w:rPr>
          <w:rFonts w:cs="Tahoma"/>
          <w:b/>
          <w:bCs/>
          <w:lang w:val="mk-MK"/>
        </w:rPr>
        <w:t>те</w:t>
      </w:r>
      <w:r w:rsidRPr="00B63768">
        <w:rPr>
          <w:rFonts w:cs="Tahoma"/>
          <w:b/>
          <w:bCs/>
          <w:lang w:val="mk-MK"/>
        </w:rPr>
        <w:t xml:space="preserve"> друштва и на вонбилансните побарувања од банки. </w:t>
      </w:r>
      <w:r w:rsidR="00973A14" w:rsidRPr="00B63768">
        <w:rPr>
          <w:rFonts w:cs="Tahoma"/>
          <w:b/>
          <w:bCs/>
          <w:lang w:val="mk-MK"/>
        </w:rPr>
        <w:t>Отпорноста на банкарскиот систем се одржа, иако с</w:t>
      </w:r>
      <w:r w:rsidRPr="00B63768">
        <w:rPr>
          <w:rFonts w:cs="Tahoma"/>
          <w:b/>
          <w:bCs/>
          <w:lang w:val="mk-MK"/>
        </w:rPr>
        <w:t>проведените стрес-тест симулации со состојба на 31.3.2013 година упатуваат на нешто послаби резултати во споредба со крајот на 201</w:t>
      </w:r>
      <w:r w:rsidR="00D22DB7" w:rsidRPr="00B63768">
        <w:rPr>
          <w:rFonts w:cs="Tahoma"/>
          <w:b/>
          <w:bCs/>
          <w:lang w:val="mk-MK"/>
        </w:rPr>
        <w:t>2</w:t>
      </w:r>
      <w:r w:rsidRPr="00B63768">
        <w:rPr>
          <w:rFonts w:cs="Tahoma"/>
          <w:b/>
          <w:bCs/>
          <w:lang w:val="mk-MK"/>
        </w:rPr>
        <w:t xml:space="preserve"> година</w:t>
      </w:r>
      <w:r w:rsidR="00D22DB7" w:rsidRPr="00B63768">
        <w:rPr>
          <w:rFonts w:cs="Tahoma"/>
          <w:b/>
          <w:bCs/>
          <w:lang w:val="mk-MK"/>
        </w:rPr>
        <w:t xml:space="preserve"> </w:t>
      </w:r>
      <w:r w:rsidRPr="00B63768">
        <w:rPr>
          <w:rFonts w:cs="Tahoma"/>
          <w:b/>
          <w:bCs/>
          <w:lang w:val="mk-MK"/>
        </w:rPr>
        <w:t>и во однос на 31.3.2012 година.</w:t>
      </w:r>
      <w:bookmarkStart w:id="86" w:name="_Toc342581275"/>
      <w:bookmarkStart w:id="87" w:name="_Toc342581534"/>
      <w:bookmarkStart w:id="88" w:name="_Toc342911641"/>
      <w:bookmarkStart w:id="89" w:name="_Toc343072573"/>
      <w:bookmarkStart w:id="90" w:name="_Toc350954364"/>
      <w:bookmarkStart w:id="91" w:name="_Toc351029789"/>
      <w:bookmarkStart w:id="92" w:name="_Toc353459344"/>
      <w:bookmarkStart w:id="93" w:name="_Toc353521216"/>
      <w:bookmarkStart w:id="94" w:name="_Toc353521585"/>
      <w:bookmarkStart w:id="95" w:name="_Toc353521730"/>
      <w:bookmarkStart w:id="96" w:name="_Toc353522394"/>
      <w:bookmarkStart w:id="97" w:name="_Toc354057739"/>
      <w:bookmarkStart w:id="98" w:name="_Toc360003042"/>
      <w:bookmarkStart w:id="99" w:name="_Toc350954365"/>
      <w:bookmarkStart w:id="100" w:name="_Toc351029790"/>
      <w:bookmarkStart w:id="101" w:name="_Toc360003043"/>
      <w:bookmarkEnd w:id="86"/>
      <w:bookmarkEnd w:id="87"/>
      <w:bookmarkEnd w:id="88"/>
      <w:bookmarkEnd w:id="89"/>
      <w:bookmarkEnd w:id="90"/>
      <w:bookmarkEnd w:id="91"/>
      <w:bookmarkEnd w:id="92"/>
      <w:bookmarkEnd w:id="93"/>
      <w:bookmarkEnd w:id="94"/>
      <w:bookmarkEnd w:id="95"/>
      <w:bookmarkEnd w:id="96"/>
      <w:bookmarkEnd w:id="97"/>
      <w:bookmarkEnd w:id="98"/>
    </w:p>
    <w:p w:rsidR="00973A14" w:rsidRPr="00B63768" w:rsidRDefault="00973A14" w:rsidP="00116403">
      <w:pPr>
        <w:ind w:left="-4536" w:firstLine="810"/>
        <w:rPr>
          <w:rFonts w:cs="Tahoma"/>
          <w:b/>
          <w:bCs/>
          <w:lang w:val="mk-MK"/>
        </w:rPr>
      </w:pPr>
    </w:p>
    <w:p w:rsidR="00116403" w:rsidRPr="00B63768" w:rsidRDefault="00116403" w:rsidP="00116403">
      <w:pPr>
        <w:ind w:left="-4536" w:firstLine="810"/>
        <w:rPr>
          <w:rFonts w:cs="Tahoma"/>
          <w:b/>
          <w:bCs/>
          <w:lang w:val="mk-MK"/>
        </w:rPr>
      </w:pPr>
    </w:p>
    <w:p w:rsidR="00116403" w:rsidRPr="00B63768" w:rsidRDefault="00040D2C" w:rsidP="003B2315">
      <w:pPr>
        <w:pStyle w:val="Heading3"/>
      </w:pPr>
      <w:bookmarkStart w:id="102" w:name="_Toc362007064"/>
      <w:r w:rsidRPr="00040D2C">
        <w:rPr>
          <w:rFonts w:cs="Times New Roman"/>
          <w:b w:val="0"/>
        </w:rPr>
        <w:lastRenderedPageBreak/>
        <w:pict>
          <v:shape id="_x0000_s1078" type="#_x0000_t202" style="position:absolute;left:0;text-align:left;margin-left:-229.9pt;margin-top:-5.1pt;width:219.8pt;height:264.25pt;z-index:251716608;v-text-anchor:middle" strokecolor="black [3213]">
            <v:textbox style="mso-next-textbox:#_x0000_s1078" inset="1mm,1mm,1mm,1mm">
              <w:txbxContent>
                <w:p w:rsidR="006F63B5" w:rsidRPr="00F96CF1" w:rsidRDefault="006F63B5" w:rsidP="00116403">
                  <w:pPr>
                    <w:pStyle w:val="Caption"/>
                    <w:rPr>
                      <w:rFonts w:cs="Tahoma"/>
                      <w:szCs w:val="20"/>
                    </w:rPr>
                  </w:pPr>
                  <w:bookmarkStart w:id="103" w:name="_Hlk303001411"/>
                  <w:bookmarkStart w:id="104" w:name="_Ref303170062"/>
                  <w:bookmarkStart w:id="105" w:name="_Toc329349150"/>
                  <w:bookmarkStart w:id="106" w:name="_Toc335225550"/>
                  <w:bookmarkStart w:id="107" w:name="_Toc342911720"/>
                  <w:bookmarkStart w:id="108" w:name="_Toc360003063"/>
                  <w:r>
                    <w:rPr>
                      <w:szCs w:val="20"/>
                    </w:rPr>
                    <w:t>Графико</w:t>
                  </w:r>
                  <w:r>
                    <w:rPr>
                      <w:szCs w:val="20"/>
                      <w:lang w:val="mk-MK"/>
                    </w:rPr>
                    <w:t>н</w:t>
                  </w:r>
                  <w:r w:rsidRPr="003257F9">
                    <w:rPr>
                      <w:szCs w:val="20"/>
                    </w:rPr>
                    <w:t xml:space="preserve"> бр. </w:t>
                  </w:r>
                  <w:bookmarkStart w:id="109" w:name="_Hlk303001530"/>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55</w:t>
                  </w:r>
                  <w:r w:rsidR="00040D2C">
                    <w:rPr>
                      <w:szCs w:val="20"/>
                    </w:rPr>
                    <w:fldChar w:fldCharType="end"/>
                  </w:r>
                  <w:bookmarkEnd w:id="103"/>
                  <w:bookmarkEnd w:id="109"/>
                  <w:r w:rsidRPr="003257F9">
                    <w:rPr>
                      <w:rFonts w:cs="Tahoma"/>
                      <w:szCs w:val="20"/>
                      <w:lang w:val="mk-MK"/>
                    </w:rPr>
                    <w:t xml:space="preserve"> </w:t>
                  </w:r>
                  <w:r>
                    <w:rPr>
                      <w:rFonts w:cs="Tahoma"/>
                      <w:szCs w:val="20"/>
                      <w:lang w:val="mk-MK"/>
                    </w:rPr>
                    <w:t>Показатели за солвентноста</w:t>
                  </w:r>
                  <w:bookmarkEnd w:id="104"/>
                  <w:bookmarkEnd w:id="105"/>
                  <w:bookmarkEnd w:id="106"/>
                  <w:bookmarkEnd w:id="107"/>
                  <w:bookmarkEnd w:id="108"/>
                </w:p>
                <w:p w:rsidR="006F63B5" w:rsidRDefault="006F63B5" w:rsidP="00116403">
                  <w:pPr>
                    <w:rPr>
                      <w:sz w:val="18"/>
                      <w:szCs w:val="18"/>
                      <w:lang w:val="mk-MK"/>
                    </w:rPr>
                  </w:pPr>
                  <w:r w:rsidRPr="00016C54">
                    <w:rPr>
                      <w:noProof/>
                      <w:szCs w:val="18"/>
                    </w:rPr>
                    <w:drawing>
                      <wp:inline distT="0" distB="0" distL="0" distR="0">
                        <wp:extent cx="2705100" cy="2657475"/>
                        <wp:effectExtent l="19050" t="0" r="0" b="0"/>
                        <wp:docPr id="2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2709545" cy="2661842"/>
                                </a:xfrm>
                                <a:prstGeom prst="rect">
                                  <a:avLst/>
                                </a:prstGeom>
                                <a:noFill/>
                                <a:ln w="9525">
                                  <a:noFill/>
                                  <a:miter lim="800000"/>
                                  <a:headEnd/>
                                  <a:tailEnd/>
                                </a:ln>
                              </pic:spPr>
                            </pic:pic>
                          </a:graphicData>
                        </a:graphic>
                      </wp:inline>
                    </w:drawing>
                  </w:r>
                </w:p>
                <w:p w:rsidR="006F63B5" w:rsidRPr="00303B89" w:rsidRDefault="006F63B5" w:rsidP="00116403">
                  <w:pPr>
                    <w:rPr>
                      <w:lang w:val="mk-MK"/>
                    </w:rPr>
                  </w:pPr>
                  <w:r w:rsidRPr="00DD6CFA">
                    <w:rPr>
                      <w:sz w:val="18"/>
                      <w:szCs w:val="18"/>
                      <w:lang w:val="mk-MK"/>
                    </w:rPr>
                    <w:t>Извор:</w:t>
                  </w:r>
                  <w:r w:rsidRPr="00DD6CFA">
                    <w:rPr>
                      <w:rFonts w:cs="Tahoma"/>
                      <w:sz w:val="18"/>
                      <w:szCs w:val="18"/>
                      <w:lang w:val="mk-MK"/>
                    </w:rPr>
                    <w:t xml:space="preserve"> Народната </w:t>
                  </w:r>
                  <w:r>
                    <w:rPr>
                      <w:rFonts w:cs="Tahoma"/>
                      <w:sz w:val="18"/>
                      <w:szCs w:val="18"/>
                      <w:lang w:val="mk-MK"/>
                    </w:rPr>
                    <w:t>б</w:t>
                  </w:r>
                  <w:r w:rsidRPr="00DD6CFA">
                    <w:rPr>
                      <w:rFonts w:cs="Tahoma"/>
                      <w:sz w:val="18"/>
                      <w:szCs w:val="18"/>
                      <w:lang w:val="mk-MK"/>
                    </w:rPr>
                    <w:t>анка, врз основа на податоците доставени од страна на банките.</w:t>
                  </w: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p>
              </w:txbxContent>
            </v:textbox>
            <w10:wrap type="square"/>
          </v:shape>
        </w:pict>
      </w:r>
      <w:r w:rsidR="00116403" w:rsidRPr="00B63768">
        <w:t>Показатели за солвентноста и капитализираноста на банкарскиот систем</w:t>
      </w:r>
      <w:bookmarkEnd w:id="99"/>
      <w:bookmarkEnd w:id="100"/>
      <w:bookmarkEnd w:id="101"/>
      <w:bookmarkEnd w:id="102"/>
    </w:p>
    <w:p w:rsidR="00116403" w:rsidRPr="00B63768" w:rsidRDefault="00116403" w:rsidP="00116403">
      <w:pPr>
        <w:ind w:firstLine="709"/>
        <w:rPr>
          <w:rFonts w:cs="Tahoma"/>
          <w:b/>
          <w:bCs/>
          <w:lang w:val="mk-MK"/>
        </w:rPr>
      </w:pPr>
    </w:p>
    <w:p w:rsidR="00D74A35" w:rsidRPr="00B63768" w:rsidRDefault="00040D2C" w:rsidP="00116403">
      <w:pPr>
        <w:ind w:firstLine="709"/>
        <w:rPr>
          <w:rFonts w:cs="Tahoma"/>
          <w:bCs/>
          <w:lang w:val="mk-MK"/>
        </w:rPr>
      </w:pPr>
      <w:r w:rsidRPr="00040D2C">
        <w:rPr>
          <w:rFonts w:ascii="Times New Roman" w:hAnsi="Times New Roman" w:cs="Tahoma"/>
          <w:sz w:val="20"/>
          <w:szCs w:val="20"/>
          <w:lang w:val="mk-MK"/>
        </w:rPr>
        <w:pict>
          <v:shape id="_x0000_s1072" type="#_x0000_t202" style="position:absolute;left:0;text-align:left;margin-left:-229.9pt;margin-top:217.95pt;width:219.8pt;height:254.25pt;z-index:251710464;v-text-anchor:middle" strokecolor="black [3213]">
            <v:textbox style="mso-next-textbox:#_x0000_s1072" inset="1mm,1mm,1mm,1mm">
              <w:txbxContent>
                <w:p w:rsidR="006F63B5" w:rsidRPr="003257F9" w:rsidRDefault="006F63B5" w:rsidP="00116403">
                  <w:pPr>
                    <w:pStyle w:val="Caption"/>
                    <w:rPr>
                      <w:rFonts w:cs="Tahoma"/>
                      <w:szCs w:val="20"/>
                    </w:rPr>
                  </w:pPr>
                  <w:bookmarkStart w:id="110" w:name="_Toc360003064"/>
                  <w:r>
                    <w:rPr>
                      <w:szCs w:val="20"/>
                    </w:rPr>
                    <w:t>Графико</w:t>
                  </w:r>
                  <w:r>
                    <w:rPr>
                      <w:szCs w:val="20"/>
                      <w:lang w:val="mk-MK"/>
                    </w:rPr>
                    <w:t>н</w:t>
                  </w:r>
                  <w:r w:rsidRPr="003257F9">
                    <w:rPr>
                      <w:szCs w:val="20"/>
                    </w:rPr>
                    <w:t xml:space="preserve"> бр. </w:t>
                  </w:r>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56</w:t>
                  </w:r>
                  <w:r w:rsidR="00040D2C">
                    <w:rPr>
                      <w:szCs w:val="20"/>
                    </w:rPr>
                    <w:fldChar w:fldCharType="end"/>
                  </w:r>
                  <w:r w:rsidRPr="003257F9">
                    <w:rPr>
                      <w:rFonts w:cs="Tahoma"/>
                      <w:szCs w:val="20"/>
                      <w:lang w:val="mk-MK"/>
                    </w:rPr>
                    <w:t xml:space="preserve"> </w:t>
                  </w:r>
                  <w:r>
                    <w:rPr>
                      <w:rFonts w:cs="Tahoma"/>
                      <w:szCs w:val="20"/>
                      <w:lang w:val="mk-MK"/>
                    </w:rPr>
                    <w:t>Квартални стапки на промена на компонентите од показателите за солвентноста</w:t>
                  </w:r>
                  <w:bookmarkEnd w:id="110"/>
                  <w:r w:rsidRPr="003257F9">
                    <w:rPr>
                      <w:rFonts w:cs="Tahoma"/>
                      <w:szCs w:val="20"/>
                      <w:lang w:val="mk-MK"/>
                    </w:rPr>
                    <w:t xml:space="preserve"> </w:t>
                  </w:r>
                </w:p>
                <w:p w:rsidR="006F63B5" w:rsidRDefault="006F63B5" w:rsidP="00116403">
                  <w:r w:rsidRPr="00186E0A">
                    <w:rPr>
                      <w:noProof/>
                    </w:rPr>
                    <w:drawing>
                      <wp:inline distT="0" distB="0" distL="0" distR="0">
                        <wp:extent cx="2705100" cy="2381250"/>
                        <wp:effectExtent l="19050" t="0" r="0" b="0"/>
                        <wp:docPr id="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2709545" cy="2385163"/>
                                </a:xfrm>
                                <a:prstGeom prst="rect">
                                  <a:avLst/>
                                </a:prstGeom>
                                <a:noFill/>
                                <a:ln w="9525">
                                  <a:noFill/>
                                  <a:miter lim="800000"/>
                                  <a:headEnd/>
                                  <a:tailEnd/>
                                </a:ln>
                              </pic:spPr>
                            </pic:pic>
                          </a:graphicData>
                        </a:graphic>
                      </wp:inline>
                    </w:drawing>
                  </w:r>
                </w:p>
                <w:p w:rsidR="006F63B5" w:rsidRDefault="006F63B5" w:rsidP="00116403">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6F63B5" w:rsidRPr="00FF2C07" w:rsidRDefault="006F63B5" w:rsidP="00116403">
                  <w:pPr>
                    <w:rPr>
                      <w:sz w:val="18"/>
                      <w:szCs w:val="18"/>
                      <w:lang w:val="mk-MK"/>
                    </w:rPr>
                  </w:pPr>
                </w:p>
                <w:p w:rsidR="006F63B5" w:rsidRPr="00FD5F5E" w:rsidRDefault="006F63B5" w:rsidP="00116403">
                  <w:pPr>
                    <w:rPr>
                      <w:lang w:val="mk-MK"/>
                    </w:rPr>
                  </w:pPr>
                </w:p>
                <w:p w:rsidR="006F63B5" w:rsidRPr="0009392A" w:rsidRDefault="006F63B5" w:rsidP="00116403">
                  <w:pPr>
                    <w:rPr>
                      <w:lang w:val="mk-MK"/>
                    </w:rPr>
                  </w:pPr>
                </w:p>
                <w:p w:rsidR="006F63B5" w:rsidRPr="00EE26CC" w:rsidRDefault="006F63B5" w:rsidP="00116403">
                  <w:pPr>
                    <w:rPr>
                      <w:lang w:val="mk-MK"/>
                    </w:rPr>
                  </w:pPr>
                </w:p>
                <w:p w:rsidR="006F63B5" w:rsidRDefault="006F63B5" w:rsidP="00116403"/>
                <w:p w:rsidR="006F63B5" w:rsidRPr="00EE26CC" w:rsidRDefault="006F63B5" w:rsidP="00116403"/>
                <w:p w:rsidR="006F63B5" w:rsidRDefault="006F63B5" w:rsidP="00116403">
                  <w:pPr>
                    <w:pStyle w:val="Caption"/>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r w:rsidRPr="008476D5">
                    <w:rPr>
                      <w:sz w:val="20"/>
                      <w:szCs w:val="20"/>
                      <w:lang w:val="mk-MK"/>
                    </w:rPr>
                    <w:t>Извор:</w:t>
                  </w:r>
                </w:p>
              </w:txbxContent>
            </v:textbox>
          </v:shape>
        </w:pict>
      </w:r>
      <w:r w:rsidR="00116403" w:rsidRPr="00B63768">
        <w:rPr>
          <w:rFonts w:cs="Tahoma"/>
          <w:b/>
          <w:bCs/>
          <w:lang w:val="mk-MK"/>
        </w:rPr>
        <w:t xml:space="preserve">Во првиот квартал од 2013 година, стапката на адекватност на капиталот и показателот за учеството на основниот капитал во активата пондерирана според ризиците бележат раст од по 0,2 процентни </w:t>
      </w:r>
      <w:r w:rsidR="00DF10C2" w:rsidRPr="00B63768">
        <w:rPr>
          <w:rFonts w:cs="Tahoma"/>
          <w:b/>
          <w:bCs/>
          <w:lang w:val="mk-MK"/>
        </w:rPr>
        <w:t>поен</w:t>
      </w:r>
      <w:r w:rsidR="00DF10C2">
        <w:rPr>
          <w:rFonts w:cs="Tahoma"/>
          <w:b/>
          <w:bCs/>
          <w:lang w:val="mk-MK"/>
        </w:rPr>
        <w:t>а</w:t>
      </w:r>
      <w:r w:rsidR="00116403" w:rsidRPr="00B63768">
        <w:rPr>
          <w:rFonts w:cs="Tahoma"/>
          <w:b/>
          <w:bCs/>
          <w:lang w:val="mk-MK"/>
        </w:rPr>
        <w:t xml:space="preserve">. Истовремено, показателот за учеството на капиталот и резервите во вкупната актива се намали за 0,1 </w:t>
      </w:r>
      <w:r w:rsidR="00DF10C2" w:rsidRPr="00B63768">
        <w:rPr>
          <w:rFonts w:cs="Tahoma"/>
          <w:b/>
          <w:bCs/>
          <w:lang w:val="mk-MK"/>
        </w:rPr>
        <w:t>процент</w:t>
      </w:r>
      <w:r w:rsidR="00DF10C2">
        <w:rPr>
          <w:rFonts w:cs="Tahoma"/>
          <w:b/>
          <w:bCs/>
          <w:lang w:val="mk-MK"/>
        </w:rPr>
        <w:t>ен</w:t>
      </w:r>
      <w:r w:rsidR="00DF10C2" w:rsidRPr="00B63768">
        <w:rPr>
          <w:rFonts w:cs="Tahoma"/>
          <w:b/>
          <w:bCs/>
          <w:lang w:val="mk-MK"/>
        </w:rPr>
        <w:t xml:space="preserve"> </w:t>
      </w:r>
      <w:r w:rsidR="00116403" w:rsidRPr="00B63768">
        <w:rPr>
          <w:rFonts w:cs="Tahoma"/>
          <w:b/>
          <w:bCs/>
          <w:lang w:val="mk-MK"/>
        </w:rPr>
        <w:t>поени.</w:t>
      </w:r>
      <w:r w:rsidR="00116403" w:rsidRPr="00B63768">
        <w:rPr>
          <w:rFonts w:cs="Tahoma"/>
          <w:bCs/>
          <w:lang w:val="mk-MK"/>
        </w:rPr>
        <w:t xml:space="preserve"> Сите компоненти од показателите за солвентноста бележат помали квартални стапки на промена во споредба со последното </w:t>
      </w:r>
      <w:r w:rsidR="00DF10C2" w:rsidRPr="00B63768">
        <w:rPr>
          <w:rFonts w:cs="Tahoma"/>
          <w:bCs/>
          <w:lang w:val="mk-MK"/>
        </w:rPr>
        <w:t>тримесеч</w:t>
      </w:r>
      <w:r w:rsidR="00DF10C2">
        <w:rPr>
          <w:rFonts w:cs="Tahoma"/>
          <w:bCs/>
          <w:lang w:val="mk-MK"/>
        </w:rPr>
        <w:t>ј</w:t>
      </w:r>
      <w:r w:rsidR="00DF10C2" w:rsidRPr="00B63768">
        <w:rPr>
          <w:rFonts w:cs="Tahoma"/>
          <w:bCs/>
          <w:lang w:val="mk-MK"/>
        </w:rPr>
        <w:t xml:space="preserve">е </w:t>
      </w:r>
      <w:r w:rsidR="00116403" w:rsidRPr="00B63768">
        <w:rPr>
          <w:rFonts w:cs="Tahoma"/>
          <w:bCs/>
          <w:lang w:val="mk-MK"/>
        </w:rPr>
        <w:t>од 2012 година, при што сопствените средства, основниот капитал и активата пондерирана според ризиците</w:t>
      </w:r>
      <w:r w:rsidR="00D22DB7" w:rsidRPr="00B63768">
        <w:rPr>
          <w:rFonts w:cs="Tahoma"/>
          <w:bCs/>
          <w:lang w:val="mk-MK"/>
        </w:rPr>
        <w:t xml:space="preserve"> </w:t>
      </w:r>
      <w:r w:rsidR="00116403" w:rsidRPr="00B63768">
        <w:rPr>
          <w:rFonts w:cs="Tahoma"/>
          <w:bCs/>
          <w:lang w:val="mk-MK"/>
        </w:rPr>
        <w:t>остварија дури и извесен квартален пад</w:t>
      </w:r>
      <w:r w:rsidR="00D74A35" w:rsidRPr="00B63768">
        <w:rPr>
          <w:rStyle w:val="FootnoteReference"/>
          <w:rFonts w:cs="Tahoma"/>
          <w:bCs/>
          <w:lang w:val="mk-MK"/>
        </w:rPr>
        <w:footnoteReference w:id="44"/>
      </w:r>
      <w:r w:rsidR="00116403" w:rsidRPr="00B63768">
        <w:rPr>
          <w:rFonts w:cs="Tahoma"/>
          <w:bCs/>
          <w:lang w:val="mk-MK"/>
        </w:rPr>
        <w:t xml:space="preserve">. </w:t>
      </w: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D74A35" w:rsidP="00116403">
      <w:pPr>
        <w:ind w:firstLine="709"/>
        <w:rPr>
          <w:rFonts w:cs="Tahoma"/>
          <w:bCs/>
          <w:lang w:val="mk-MK"/>
        </w:rPr>
      </w:pPr>
    </w:p>
    <w:p w:rsidR="00D74A35" w:rsidRPr="00B63768" w:rsidRDefault="00040D2C" w:rsidP="00116403">
      <w:pPr>
        <w:ind w:firstLine="709"/>
        <w:rPr>
          <w:rFonts w:cs="Tahoma"/>
          <w:b/>
          <w:bCs/>
          <w:lang w:val="mk-MK"/>
        </w:rPr>
      </w:pPr>
      <w:r w:rsidRPr="00040D2C">
        <w:rPr>
          <w:rFonts w:cs="Tahoma"/>
          <w:b/>
          <w:bCs/>
          <w:lang w:val="mk-MK"/>
        </w:rPr>
        <w:lastRenderedPageBreak/>
        <w:pict>
          <v:shape id="_x0000_s1071" type="#_x0000_t202" style="position:absolute;left:0;text-align:left;margin-left:-228.4pt;margin-top:-10.9pt;width:219.8pt;height:236.8pt;z-index:251709440;v-text-anchor:middle" strokecolor="black [3213]">
            <v:textbox style="mso-next-textbox:#_x0000_s1071" inset="1mm,1mm,1mm,1mm">
              <w:txbxContent>
                <w:p w:rsidR="006F63B5" w:rsidRPr="003257F9" w:rsidRDefault="006F63B5" w:rsidP="00116403">
                  <w:pPr>
                    <w:pStyle w:val="Caption"/>
                    <w:rPr>
                      <w:rFonts w:cs="Tahoma"/>
                      <w:szCs w:val="20"/>
                    </w:rPr>
                  </w:pPr>
                  <w:bookmarkStart w:id="111" w:name="_Toc329349157"/>
                  <w:bookmarkStart w:id="112" w:name="_Toc335225551"/>
                  <w:bookmarkStart w:id="113" w:name="_Toc342911721"/>
                  <w:bookmarkStart w:id="114" w:name="_Toc360003065"/>
                  <w:r>
                    <w:rPr>
                      <w:szCs w:val="20"/>
                    </w:rPr>
                    <w:t>Графико</w:t>
                  </w:r>
                  <w:r>
                    <w:rPr>
                      <w:szCs w:val="20"/>
                      <w:lang w:val="mk-MK"/>
                    </w:rPr>
                    <w:t>н</w:t>
                  </w:r>
                  <w:r w:rsidRPr="003257F9">
                    <w:rPr>
                      <w:szCs w:val="20"/>
                    </w:rPr>
                    <w:t xml:space="preserve"> бр. </w:t>
                  </w:r>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57</w:t>
                  </w:r>
                  <w:r w:rsidR="00040D2C">
                    <w:rPr>
                      <w:szCs w:val="20"/>
                    </w:rPr>
                    <w:fldChar w:fldCharType="end"/>
                  </w:r>
                  <w:r w:rsidRPr="003257F9">
                    <w:rPr>
                      <w:rFonts w:cs="Tahoma"/>
                      <w:szCs w:val="20"/>
                      <w:lang w:val="mk-MK"/>
                    </w:rPr>
                    <w:t xml:space="preserve"> </w:t>
                  </w:r>
                  <w:r>
                    <w:rPr>
                      <w:rFonts w:cs="Tahoma"/>
                      <w:szCs w:val="20"/>
                      <w:lang w:val="mk-MK"/>
                    </w:rPr>
                    <w:t>Стапка на адекватност на капиталот, по поединечна банка</w:t>
                  </w:r>
                  <w:bookmarkEnd w:id="111"/>
                  <w:bookmarkEnd w:id="112"/>
                  <w:bookmarkEnd w:id="113"/>
                  <w:bookmarkEnd w:id="114"/>
                  <w:r w:rsidRPr="003257F9">
                    <w:rPr>
                      <w:rFonts w:cs="Tahoma"/>
                      <w:szCs w:val="20"/>
                      <w:lang w:val="mk-MK"/>
                    </w:rPr>
                    <w:t xml:space="preserve"> </w:t>
                  </w:r>
                </w:p>
                <w:p w:rsidR="006F63B5" w:rsidRDefault="006F63B5" w:rsidP="00116403">
                  <w:r w:rsidRPr="00016C54">
                    <w:rPr>
                      <w:noProof/>
                    </w:rPr>
                    <w:drawing>
                      <wp:inline distT="0" distB="0" distL="0" distR="0">
                        <wp:extent cx="2709545" cy="2303710"/>
                        <wp:effectExtent l="19050" t="0" r="0" b="0"/>
                        <wp:docPr id="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a:stretch>
                                  <a:fillRect/>
                                </a:stretch>
                              </pic:blipFill>
                              <pic:spPr bwMode="auto">
                                <a:xfrm>
                                  <a:off x="0" y="0"/>
                                  <a:ext cx="2709545" cy="2303710"/>
                                </a:xfrm>
                                <a:prstGeom prst="rect">
                                  <a:avLst/>
                                </a:prstGeom>
                                <a:noFill/>
                                <a:ln w="9525">
                                  <a:noFill/>
                                  <a:miter lim="800000"/>
                                  <a:headEnd/>
                                  <a:tailEnd/>
                                </a:ln>
                              </pic:spPr>
                            </pic:pic>
                          </a:graphicData>
                        </a:graphic>
                      </wp:inline>
                    </w:drawing>
                  </w:r>
                </w:p>
                <w:p w:rsidR="006F63B5" w:rsidRDefault="006F63B5" w:rsidP="00116403">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6F63B5" w:rsidRPr="00FD5F5E" w:rsidRDefault="006F63B5" w:rsidP="00116403">
                  <w:pPr>
                    <w:rPr>
                      <w:lang w:val="mk-MK"/>
                    </w:rPr>
                  </w:pPr>
                </w:p>
                <w:p w:rsidR="006F63B5" w:rsidRPr="0009392A" w:rsidRDefault="006F63B5" w:rsidP="00116403">
                  <w:pPr>
                    <w:rPr>
                      <w:lang w:val="mk-MK"/>
                    </w:rPr>
                  </w:pPr>
                </w:p>
                <w:p w:rsidR="006F63B5" w:rsidRPr="00EE26CC" w:rsidRDefault="006F63B5" w:rsidP="00116403">
                  <w:pPr>
                    <w:rPr>
                      <w:lang w:val="mk-MK"/>
                    </w:rPr>
                  </w:pPr>
                </w:p>
                <w:p w:rsidR="006F63B5" w:rsidRPr="00303B89" w:rsidRDefault="006F63B5" w:rsidP="00116403">
                  <w:pPr>
                    <w:rPr>
                      <w:lang w:val="mk-MK"/>
                    </w:rPr>
                  </w:pPr>
                </w:p>
                <w:p w:rsidR="006F63B5" w:rsidRPr="00303B89" w:rsidRDefault="006F63B5" w:rsidP="00116403">
                  <w:pPr>
                    <w:rPr>
                      <w:lang w:val="mk-MK"/>
                    </w:rPr>
                  </w:pPr>
                </w:p>
                <w:p w:rsidR="006F63B5" w:rsidRDefault="006F63B5" w:rsidP="00116403">
                  <w:pPr>
                    <w:pStyle w:val="Caption"/>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r w:rsidRPr="008476D5">
                    <w:rPr>
                      <w:sz w:val="20"/>
                      <w:szCs w:val="20"/>
                      <w:lang w:val="mk-MK"/>
                    </w:rPr>
                    <w:t>Извор:</w:t>
                  </w:r>
                </w:p>
              </w:txbxContent>
            </v:textbox>
          </v:shape>
        </w:pict>
      </w:r>
      <w:r w:rsidR="00116403" w:rsidRPr="00B63768">
        <w:rPr>
          <w:rFonts w:cs="Tahoma"/>
          <w:b/>
          <w:bCs/>
          <w:lang w:val="mk-MK"/>
        </w:rPr>
        <w:t xml:space="preserve">Во првиот квартал од 2013 година, </w:t>
      </w:r>
      <w:r w:rsidR="00DD05E8" w:rsidRPr="00B63768">
        <w:rPr>
          <w:rFonts w:cs="Tahoma"/>
          <w:b/>
          <w:bCs/>
          <w:lang w:val="mk-MK"/>
        </w:rPr>
        <w:t xml:space="preserve">кај </w:t>
      </w:r>
      <w:r w:rsidR="00116403" w:rsidRPr="00B63768">
        <w:rPr>
          <w:rFonts w:cs="Tahoma"/>
          <w:b/>
          <w:bCs/>
          <w:lang w:val="mk-MK"/>
        </w:rPr>
        <w:t>девет банки, на кои отпаѓа</w:t>
      </w:r>
      <w:r w:rsidR="00DF10C2">
        <w:rPr>
          <w:rFonts w:cs="Tahoma"/>
          <w:b/>
          <w:bCs/>
          <w:lang w:val="mk-MK"/>
        </w:rPr>
        <w:t>ат</w:t>
      </w:r>
      <w:r w:rsidR="00116403" w:rsidRPr="00B63768">
        <w:rPr>
          <w:rFonts w:cs="Tahoma"/>
          <w:b/>
          <w:bCs/>
          <w:lang w:val="mk-MK"/>
        </w:rPr>
        <w:t xml:space="preserve"> 79% од вкупната актива на банкарскиот систем, </w:t>
      </w:r>
      <w:r w:rsidR="00DD05E8" w:rsidRPr="00B63768">
        <w:rPr>
          <w:rFonts w:cs="Tahoma"/>
          <w:b/>
          <w:bCs/>
          <w:lang w:val="mk-MK"/>
        </w:rPr>
        <w:t>се зголеми</w:t>
      </w:r>
      <w:r w:rsidR="00DD05E8" w:rsidRPr="00B63768" w:rsidDel="00DD05E8">
        <w:rPr>
          <w:rFonts w:cs="Tahoma"/>
          <w:b/>
          <w:bCs/>
          <w:lang w:val="mk-MK"/>
        </w:rPr>
        <w:t xml:space="preserve"> </w:t>
      </w:r>
      <w:r w:rsidR="00116403" w:rsidRPr="00B63768">
        <w:rPr>
          <w:rFonts w:cs="Tahoma"/>
          <w:b/>
          <w:bCs/>
          <w:lang w:val="mk-MK"/>
        </w:rPr>
        <w:t xml:space="preserve">стапката на адекватност на капиталот. </w:t>
      </w:r>
    </w:p>
    <w:p w:rsidR="00D74A35" w:rsidRPr="00B63768" w:rsidRDefault="00D74A35" w:rsidP="00116403">
      <w:pPr>
        <w:ind w:firstLine="709"/>
        <w:rPr>
          <w:rFonts w:cs="Tahoma"/>
          <w:b/>
          <w:bCs/>
          <w:lang w:val="mk-MK"/>
        </w:rPr>
      </w:pPr>
    </w:p>
    <w:p w:rsidR="00116403" w:rsidRPr="00B63768" w:rsidRDefault="00116403" w:rsidP="003B2315">
      <w:pPr>
        <w:pStyle w:val="Heading3"/>
      </w:pPr>
      <w:bookmarkStart w:id="115" w:name="_Toc329937623"/>
      <w:bookmarkStart w:id="116" w:name="_Toc329955341"/>
      <w:bookmarkStart w:id="117" w:name="_Toc330219041"/>
      <w:bookmarkStart w:id="118" w:name="_Toc330452901"/>
      <w:bookmarkStart w:id="119" w:name="_Toc330473762"/>
      <w:bookmarkStart w:id="120" w:name="_Toc335225539"/>
      <w:bookmarkStart w:id="121" w:name="_Toc350954366"/>
      <w:bookmarkStart w:id="122" w:name="_Toc351029791"/>
      <w:bookmarkStart w:id="123" w:name="_Toc360003044"/>
      <w:bookmarkStart w:id="124" w:name="_Toc362007065"/>
      <w:bookmarkEnd w:id="115"/>
      <w:bookmarkEnd w:id="116"/>
      <w:bookmarkEnd w:id="117"/>
      <w:bookmarkEnd w:id="118"/>
      <w:bookmarkEnd w:id="119"/>
      <w:bookmarkEnd w:id="120"/>
      <w:r w:rsidRPr="00B63768">
        <w:t>Движења и квалитет на сопствените средства на банкарскиот систем</w:t>
      </w:r>
      <w:bookmarkEnd w:id="121"/>
      <w:bookmarkEnd w:id="122"/>
      <w:bookmarkEnd w:id="123"/>
      <w:bookmarkEnd w:id="124"/>
    </w:p>
    <w:p w:rsidR="00116403" w:rsidRPr="00B63768" w:rsidRDefault="00116403" w:rsidP="00116403">
      <w:pPr>
        <w:rPr>
          <w:lang w:val="mk-MK"/>
        </w:rPr>
      </w:pPr>
    </w:p>
    <w:p w:rsidR="00116403" w:rsidRPr="00B63768" w:rsidRDefault="00040D2C" w:rsidP="00116403">
      <w:pPr>
        <w:ind w:firstLine="709"/>
        <w:rPr>
          <w:rFonts w:cs="Tahoma"/>
          <w:bCs/>
          <w:lang w:val="mk-MK"/>
        </w:rPr>
      </w:pPr>
      <w:r w:rsidRPr="00040D2C">
        <w:rPr>
          <w:rFonts w:cs="Tahoma"/>
          <w:b/>
          <w:bCs/>
          <w:lang w:val="mk-MK"/>
        </w:rPr>
        <w:pict>
          <v:shape id="_x0000_s1075" type="#_x0000_t202" style="position:absolute;left:0;text-align:left;margin-left:-229.15pt;margin-top:121.65pt;width:219.8pt;height:282pt;z-index:251713536;v-text-anchor:middle" strokecolor="black [3213]">
            <v:textbox style="mso-next-textbox:#_x0000_s1075" inset="1mm,1mm,1mm,1mm">
              <w:txbxContent>
                <w:p w:rsidR="006F63B5" w:rsidRPr="003257F9" w:rsidRDefault="006F63B5" w:rsidP="00116403">
                  <w:pPr>
                    <w:pStyle w:val="Caption"/>
                    <w:rPr>
                      <w:rFonts w:cs="Tahoma"/>
                      <w:szCs w:val="20"/>
                    </w:rPr>
                  </w:pPr>
                  <w:bookmarkStart w:id="125" w:name="_Toc360003066"/>
                  <w:r>
                    <w:rPr>
                      <w:szCs w:val="20"/>
                    </w:rPr>
                    <w:t>Графико</w:t>
                  </w:r>
                  <w:r>
                    <w:rPr>
                      <w:szCs w:val="20"/>
                      <w:lang w:val="mk-MK"/>
                    </w:rPr>
                    <w:t>н</w:t>
                  </w:r>
                  <w:r w:rsidRPr="003257F9">
                    <w:rPr>
                      <w:szCs w:val="20"/>
                    </w:rPr>
                    <w:t xml:space="preserve"> бр. </w:t>
                  </w:r>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58</w:t>
                  </w:r>
                  <w:r w:rsidR="00040D2C">
                    <w:rPr>
                      <w:szCs w:val="20"/>
                    </w:rPr>
                    <w:fldChar w:fldCharType="end"/>
                  </w:r>
                  <w:r w:rsidRPr="003257F9">
                    <w:rPr>
                      <w:rFonts w:cs="Tahoma"/>
                      <w:szCs w:val="20"/>
                      <w:lang w:val="mk-MK"/>
                    </w:rPr>
                    <w:t xml:space="preserve"> </w:t>
                  </w:r>
                  <w:r>
                    <w:rPr>
                      <w:rFonts w:cs="Tahoma"/>
                      <w:szCs w:val="20"/>
                      <w:lang w:val="mk-MK"/>
                    </w:rPr>
                    <w:t>Годишна, апсолутна и релативна, промена на сопствените средства</w:t>
                  </w:r>
                  <w:bookmarkEnd w:id="125"/>
                  <w:r w:rsidRPr="003257F9">
                    <w:rPr>
                      <w:rFonts w:cs="Tahoma"/>
                      <w:szCs w:val="20"/>
                      <w:lang w:val="mk-MK"/>
                    </w:rPr>
                    <w:t xml:space="preserve"> </w:t>
                  </w:r>
                </w:p>
                <w:p w:rsidR="006F63B5" w:rsidRDefault="006F63B5" w:rsidP="00116403">
                  <w:r w:rsidRPr="00016C54">
                    <w:rPr>
                      <w:noProof/>
                    </w:rPr>
                    <w:drawing>
                      <wp:inline distT="0" distB="0" distL="0" distR="0">
                        <wp:extent cx="2705100" cy="2714625"/>
                        <wp:effectExtent l="19050" t="0" r="0" b="0"/>
                        <wp:docPr id="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2709545" cy="2719086"/>
                                </a:xfrm>
                                <a:prstGeom prst="rect">
                                  <a:avLst/>
                                </a:prstGeom>
                                <a:noFill/>
                                <a:ln w="9525">
                                  <a:noFill/>
                                  <a:miter lim="800000"/>
                                  <a:headEnd/>
                                  <a:tailEnd/>
                                </a:ln>
                              </pic:spPr>
                            </pic:pic>
                          </a:graphicData>
                        </a:graphic>
                      </wp:inline>
                    </w:drawing>
                  </w:r>
                </w:p>
                <w:p w:rsidR="006F63B5" w:rsidRDefault="006F63B5" w:rsidP="00116403">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6F63B5" w:rsidRPr="00FD5F5E" w:rsidRDefault="006F63B5" w:rsidP="00116403">
                  <w:pPr>
                    <w:rPr>
                      <w:lang w:val="mk-MK"/>
                    </w:rPr>
                  </w:pPr>
                </w:p>
                <w:p w:rsidR="006F63B5" w:rsidRPr="0009392A" w:rsidRDefault="006F63B5" w:rsidP="00116403">
                  <w:pPr>
                    <w:rPr>
                      <w:lang w:val="mk-MK"/>
                    </w:rPr>
                  </w:pPr>
                </w:p>
                <w:p w:rsidR="006F63B5" w:rsidRPr="00EE26CC" w:rsidRDefault="006F63B5" w:rsidP="00116403">
                  <w:pPr>
                    <w:rPr>
                      <w:lang w:val="mk-MK"/>
                    </w:rPr>
                  </w:pPr>
                </w:p>
                <w:p w:rsidR="006F63B5" w:rsidRDefault="006F63B5" w:rsidP="00116403"/>
                <w:p w:rsidR="006F63B5" w:rsidRPr="00EE26CC" w:rsidRDefault="006F63B5" w:rsidP="00116403"/>
                <w:p w:rsidR="006F63B5" w:rsidRDefault="006F63B5" w:rsidP="00116403">
                  <w:pPr>
                    <w:pStyle w:val="Caption"/>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r w:rsidRPr="008476D5">
                    <w:rPr>
                      <w:sz w:val="20"/>
                      <w:szCs w:val="20"/>
                      <w:lang w:val="mk-MK"/>
                    </w:rPr>
                    <w:t>Извор:</w:t>
                  </w:r>
                </w:p>
              </w:txbxContent>
            </v:textbox>
          </v:shape>
        </w:pict>
      </w:r>
      <w:r w:rsidR="00116403" w:rsidRPr="00B63768">
        <w:rPr>
          <w:rFonts w:cs="Tahoma"/>
          <w:b/>
          <w:bCs/>
          <w:lang w:val="mk-MK"/>
        </w:rPr>
        <w:t xml:space="preserve">Во првиот квартал од 2013 година, сопствените средства на банкарскиот систем се намалија за 106 милиони денари, или за 0,2%. На годишна основа, 31.3.2012-31.3.2013 година, сопствените средства бележат раст од 245 милиони денари, или за 0,6%, што претставува најнизок </w:t>
      </w:r>
      <w:r w:rsidR="00DF10C2">
        <w:rPr>
          <w:rFonts w:cs="Tahoma"/>
          <w:b/>
          <w:bCs/>
          <w:lang w:val="mk-MK"/>
        </w:rPr>
        <w:t>забележан</w:t>
      </w:r>
      <w:r w:rsidR="00DF10C2" w:rsidRPr="00B63768">
        <w:rPr>
          <w:rFonts w:cs="Tahoma"/>
          <w:b/>
          <w:bCs/>
          <w:lang w:val="mk-MK"/>
        </w:rPr>
        <w:t xml:space="preserve"> </w:t>
      </w:r>
      <w:r w:rsidR="00116403" w:rsidRPr="00B63768">
        <w:rPr>
          <w:rFonts w:cs="Tahoma"/>
          <w:b/>
          <w:bCs/>
          <w:lang w:val="mk-MK"/>
        </w:rPr>
        <w:t xml:space="preserve">годишен раст во последните осум години. </w:t>
      </w:r>
      <w:r w:rsidR="00116403" w:rsidRPr="00B63768">
        <w:rPr>
          <w:rFonts w:cs="Tahoma"/>
          <w:bCs/>
          <w:lang w:val="mk-MK"/>
        </w:rPr>
        <w:t xml:space="preserve">Кварталното намалување на сопствените средства е последица на </w:t>
      </w:r>
      <w:r w:rsidR="00D22DB7" w:rsidRPr="00B63768">
        <w:rPr>
          <w:rFonts w:cs="Tahoma"/>
          <w:bCs/>
          <w:lang w:val="mk-MK"/>
        </w:rPr>
        <w:t xml:space="preserve">остварениот негативен финансиски резултат во првото </w:t>
      </w:r>
      <w:r w:rsidR="00DF10C2" w:rsidRPr="00B63768">
        <w:rPr>
          <w:rFonts w:cs="Tahoma"/>
          <w:bCs/>
          <w:lang w:val="mk-MK"/>
        </w:rPr>
        <w:t>тр</w:t>
      </w:r>
      <w:r w:rsidR="000A525F">
        <w:rPr>
          <w:rFonts w:cs="Tahoma"/>
          <w:bCs/>
          <w:lang w:val="mk-MK"/>
        </w:rPr>
        <w:t>и</w:t>
      </w:r>
      <w:r w:rsidR="00DF10C2" w:rsidRPr="00B63768">
        <w:rPr>
          <w:rFonts w:cs="Tahoma"/>
          <w:bCs/>
          <w:lang w:val="mk-MK"/>
        </w:rPr>
        <w:t>месеч</w:t>
      </w:r>
      <w:r w:rsidR="00DF10C2">
        <w:rPr>
          <w:rFonts w:cs="Tahoma"/>
          <w:bCs/>
          <w:lang w:val="mk-MK"/>
        </w:rPr>
        <w:t>ј</w:t>
      </w:r>
      <w:r w:rsidR="00DF10C2" w:rsidRPr="00B63768">
        <w:rPr>
          <w:rFonts w:cs="Tahoma"/>
          <w:bCs/>
          <w:lang w:val="mk-MK"/>
        </w:rPr>
        <w:t xml:space="preserve">е </w:t>
      </w:r>
      <w:r w:rsidR="00D22DB7" w:rsidRPr="00B63768">
        <w:rPr>
          <w:rFonts w:cs="Tahoma"/>
          <w:bCs/>
          <w:lang w:val="mk-MK"/>
        </w:rPr>
        <w:t>од 201</w:t>
      </w:r>
      <w:r w:rsidR="00116403" w:rsidRPr="00B63768">
        <w:rPr>
          <w:rFonts w:cs="Tahoma"/>
          <w:bCs/>
          <w:lang w:val="mk-MK"/>
        </w:rPr>
        <w:t>3</w:t>
      </w:r>
      <w:r w:rsidR="00D22DB7" w:rsidRPr="00B63768">
        <w:rPr>
          <w:rFonts w:cs="Tahoma"/>
          <w:bCs/>
          <w:lang w:val="mk-MK"/>
        </w:rPr>
        <w:t xml:space="preserve"> година</w:t>
      </w:r>
      <w:r w:rsidR="00116403" w:rsidRPr="00B63768">
        <w:rPr>
          <w:rFonts w:cs="Tahoma"/>
          <w:bCs/>
          <w:lang w:val="mk-MK"/>
        </w:rPr>
        <w:t xml:space="preserve">, што предизвика зголемување на позицијата </w:t>
      </w:r>
      <w:r w:rsidR="00DF10C2">
        <w:rPr>
          <w:rFonts w:cs="Tahoma"/>
          <w:bCs/>
          <w:lang w:val="mk-MK"/>
        </w:rPr>
        <w:t>„</w:t>
      </w:r>
      <w:r w:rsidR="00D22DB7" w:rsidRPr="00B63768">
        <w:rPr>
          <w:rFonts w:cs="Tahoma"/>
          <w:bCs/>
          <w:lang w:val="mk-MK"/>
        </w:rPr>
        <w:t>загуба на крајот од годината или тековна загуба</w:t>
      </w:r>
      <w:r w:rsidR="00DF10C2">
        <w:rPr>
          <w:rFonts w:cs="Tahoma"/>
          <w:bCs/>
          <w:lang w:val="mk-MK"/>
        </w:rPr>
        <w:t>“</w:t>
      </w:r>
      <w:r w:rsidR="00116403" w:rsidRPr="00B63768">
        <w:rPr>
          <w:rStyle w:val="FootnoteReference"/>
          <w:rFonts w:cs="Tahoma"/>
          <w:bCs/>
          <w:lang w:val="mk-MK"/>
        </w:rPr>
        <w:footnoteReference w:id="45"/>
      </w:r>
      <w:r w:rsidR="00116403" w:rsidRPr="00B63768">
        <w:rPr>
          <w:rFonts w:cs="Tahoma"/>
          <w:bCs/>
          <w:lang w:val="mk-MK"/>
        </w:rPr>
        <w:t xml:space="preserve">, за 430 милиони денари. Значително, но сепак апсолутно помало, зголемување, од 282 </w:t>
      </w:r>
      <w:r w:rsidR="009E2735" w:rsidRPr="00B63768">
        <w:rPr>
          <w:rFonts w:cs="Tahoma"/>
          <w:bCs/>
          <w:lang w:val="mk-MK"/>
        </w:rPr>
        <w:t>милион</w:t>
      </w:r>
      <w:r w:rsidR="009E2735">
        <w:rPr>
          <w:rFonts w:cs="Tahoma"/>
          <w:bCs/>
          <w:lang w:val="mk-MK"/>
        </w:rPr>
        <w:t>а</w:t>
      </w:r>
      <w:r w:rsidR="009E2735" w:rsidRPr="00B63768">
        <w:rPr>
          <w:rFonts w:cs="Tahoma"/>
          <w:bCs/>
          <w:lang w:val="mk-MK"/>
        </w:rPr>
        <w:t xml:space="preserve"> </w:t>
      </w:r>
      <w:r w:rsidR="00116403" w:rsidRPr="00B63768">
        <w:rPr>
          <w:rFonts w:cs="Tahoma"/>
          <w:bCs/>
          <w:lang w:val="mk-MK"/>
        </w:rPr>
        <w:t xml:space="preserve">денари, се забележува и кај ставката </w:t>
      </w:r>
      <w:r w:rsidR="009E2735">
        <w:rPr>
          <w:rFonts w:cs="Tahoma"/>
          <w:bCs/>
          <w:lang w:val="mk-MK"/>
        </w:rPr>
        <w:t>„</w:t>
      </w:r>
      <w:r w:rsidR="00D22DB7" w:rsidRPr="00B63768">
        <w:rPr>
          <w:rFonts w:cs="Tahoma"/>
          <w:bCs/>
          <w:lang w:val="mk-MK"/>
        </w:rPr>
        <w:t>резерви и задржана добивка или загуба</w:t>
      </w:r>
      <w:r w:rsidR="009E2735">
        <w:rPr>
          <w:rFonts w:cs="Tahoma"/>
          <w:bCs/>
          <w:lang w:val="mk-MK"/>
        </w:rPr>
        <w:t>“</w:t>
      </w:r>
      <w:r w:rsidR="009E2735" w:rsidRPr="00B63768">
        <w:rPr>
          <w:rFonts w:cs="Tahoma"/>
          <w:bCs/>
          <w:lang w:val="mk-MK"/>
        </w:rPr>
        <w:t xml:space="preserve">, </w:t>
      </w:r>
      <w:r w:rsidR="00116403" w:rsidRPr="00B63768">
        <w:rPr>
          <w:rFonts w:cs="Tahoma"/>
          <w:bCs/>
          <w:lang w:val="mk-MK"/>
        </w:rPr>
        <w:t>што произлегува од реинвестирањето на дел од добивката остварена во 2012 година, присутно кај три банки</w:t>
      </w:r>
      <w:r w:rsidR="00116403" w:rsidRPr="00B63768">
        <w:rPr>
          <w:rStyle w:val="FootnoteReference"/>
          <w:rFonts w:cs="Tahoma"/>
          <w:bCs/>
          <w:lang w:val="mk-MK"/>
        </w:rPr>
        <w:footnoteReference w:id="46"/>
      </w:r>
      <w:r w:rsidR="00116403" w:rsidRPr="00B63768">
        <w:rPr>
          <w:rFonts w:cs="Tahoma"/>
          <w:bCs/>
          <w:lang w:val="mk-MK"/>
        </w:rPr>
        <w:t xml:space="preserve">. </w:t>
      </w:r>
      <w:r w:rsidR="00DD05E8" w:rsidRPr="00B63768">
        <w:rPr>
          <w:rFonts w:cs="Tahoma"/>
          <w:bCs/>
          <w:lang w:val="mk-MK"/>
        </w:rPr>
        <w:t>Со одржувањето на годишните собранија на банките, в</w:t>
      </w:r>
      <w:r w:rsidR="00116403" w:rsidRPr="00B63768">
        <w:rPr>
          <w:rFonts w:cs="Tahoma"/>
          <w:bCs/>
          <w:lang w:val="mk-MK"/>
        </w:rPr>
        <w:t xml:space="preserve">о </w:t>
      </w:r>
      <w:r w:rsidR="00DD05E8" w:rsidRPr="00B63768">
        <w:rPr>
          <w:rFonts w:cs="Tahoma"/>
          <w:bCs/>
          <w:lang w:val="mk-MK"/>
        </w:rPr>
        <w:t xml:space="preserve">следните </w:t>
      </w:r>
      <w:r w:rsidR="00116403" w:rsidRPr="00B63768">
        <w:rPr>
          <w:rFonts w:cs="Tahoma"/>
          <w:bCs/>
          <w:lang w:val="mk-MK"/>
        </w:rPr>
        <w:t>месеци од 2013 година може да се очекува реинвестирање на дел од добивката од 2012 година и кај други банки, што би имало позитивен ефект врз висината и квалитетот на сопствените средства.</w:t>
      </w:r>
    </w:p>
    <w:p w:rsidR="00116403" w:rsidRPr="00B63768" w:rsidRDefault="00116403" w:rsidP="00116403">
      <w:pPr>
        <w:ind w:firstLine="709"/>
        <w:rPr>
          <w:rFonts w:cs="Tahoma"/>
          <w:b/>
          <w:bCs/>
          <w:lang w:val="mk-MK"/>
        </w:rPr>
      </w:pPr>
    </w:p>
    <w:p w:rsidR="006D6DFA" w:rsidRPr="00B63768" w:rsidRDefault="006D6DFA" w:rsidP="00116403">
      <w:pPr>
        <w:ind w:firstLine="709"/>
        <w:rPr>
          <w:rFonts w:cs="Tahoma"/>
          <w:bCs/>
          <w:lang w:val="mk-MK"/>
        </w:rPr>
      </w:pPr>
    </w:p>
    <w:p w:rsidR="006D6DFA" w:rsidRPr="00B63768" w:rsidRDefault="006D6DFA" w:rsidP="00116403">
      <w:pPr>
        <w:ind w:firstLine="709"/>
        <w:rPr>
          <w:rFonts w:cs="Tahoma"/>
          <w:bCs/>
          <w:lang w:val="mk-MK"/>
        </w:rPr>
      </w:pPr>
    </w:p>
    <w:p w:rsidR="006D6DFA" w:rsidRPr="00B63768" w:rsidRDefault="006D6DFA" w:rsidP="00116403">
      <w:pPr>
        <w:ind w:firstLine="709"/>
        <w:rPr>
          <w:rFonts w:cs="Tahoma"/>
          <w:bCs/>
          <w:lang w:val="mk-MK"/>
        </w:rPr>
      </w:pPr>
    </w:p>
    <w:p w:rsidR="006D6DFA" w:rsidRPr="00B63768" w:rsidRDefault="006D6DFA" w:rsidP="00116403">
      <w:pPr>
        <w:ind w:firstLine="709"/>
        <w:rPr>
          <w:rFonts w:cs="Tahoma"/>
          <w:bCs/>
          <w:lang w:val="mk-MK"/>
        </w:rPr>
      </w:pPr>
    </w:p>
    <w:p w:rsidR="00116403" w:rsidRPr="00B63768" w:rsidRDefault="00040D2C" w:rsidP="00116403">
      <w:pPr>
        <w:ind w:firstLine="709"/>
        <w:rPr>
          <w:rFonts w:cs="Tahoma"/>
          <w:bCs/>
          <w:lang w:val="mk-MK"/>
        </w:rPr>
      </w:pPr>
      <w:r w:rsidRPr="00040D2C">
        <w:rPr>
          <w:rFonts w:cs="Tahoma"/>
          <w:bCs/>
          <w:lang w:val="mk-MK"/>
        </w:rPr>
        <w:lastRenderedPageBreak/>
        <w:pict>
          <v:shape id="_x0000_s1074" type="#_x0000_t202" style="position:absolute;left:0;text-align:left;margin-left:-232.3pt;margin-top:-7.75pt;width:219.8pt;height:258.4pt;z-index:251712512;v-text-anchor:middle" strokecolor="black [3213]">
            <v:textbox style="mso-next-textbox:#_x0000_s1074" inset="1mm,1mm,1mm,1mm">
              <w:txbxContent>
                <w:p w:rsidR="006F63B5" w:rsidRPr="003257F9" w:rsidRDefault="006F63B5" w:rsidP="00116403">
                  <w:pPr>
                    <w:pStyle w:val="Caption"/>
                    <w:rPr>
                      <w:rFonts w:cs="Tahoma"/>
                      <w:szCs w:val="20"/>
                    </w:rPr>
                  </w:pPr>
                  <w:bookmarkStart w:id="126" w:name="_Toc360003067"/>
                  <w:r>
                    <w:rPr>
                      <w:szCs w:val="20"/>
                    </w:rPr>
                    <w:t>Графико</w:t>
                  </w:r>
                  <w:r>
                    <w:rPr>
                      <w:szCs w:val="20"/>
                      <w:lang w:val="mk-MK"/>
                    </w:rPr>
                    <w:t>н</w:t>
                  </w:r>
                  <w:r w:rsidRPr="003257F9">
                    <w:rPr>
                      <w:szCs w:val="20"/>
                    </w:rPr>
                    <w:t xml:space="preserve"> бр. </w:t>
                  </w:r>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59</w:t>
                  </w:r>
                  <w:r w:rsidR="00040D2C">
                    <w:rPr>
                      <w:szCs w:val="20"/>
                    </w:rPr>
                    <w:fldChar w:fldCharType="end"/>
                  </w:r>
                  <w:r w:rsidRPr="003257F9">
                    <w:rPr>
                      <w:rFonts w:cs="Tahoma"/>
                      <w:szCs w:val="20"/>
                      <w:lang w:val="mk-MK"/>
                    </w:rPr>
                    <w:t xml:space="preserve"> </w:t>
                  </w:r>
                  <w:r>
                    <w:rPr>
                      <w:rFonts w:cs="Tahoma"/>
                      <w:szCs w:val="20"/>
                      <w:lang w:val="mk-MK"/>
                    </w:rPr>
                    <w:t>Структура на сопствените средства</w:t>
                  </w:r>
                  <w:bookmarkEnd w:id="126"/>
                  <w:r w:rsidRPr="003257F9">
                    <w:rPr>
                      <w:rFonts w:cs="Tahoma"/>
                      <w:szCs w:val="20"/>
                      <w:lang w:val="mk-MK"/>
                    </w:rPr>
                    <w:t xml:space="preserve"> </w:t>
                  </w:r>
                </w:p>
                <w:p w:rsidR="006F63B5" w:rsidRDefault="006F63B5" w:rsidP="00116403">
                  <w:r w:rsidRPr="00016C54">
                    <w:rPr>
                      <w:noProof/>
                    </w:rPr>
                    <w:drawing>
                      <wp:inline distT="0" distB="0" distL="0" distR="0">
                        <wp:extent cx="2705100" cy="2200275"/>
                        <wp:effectExtent l="19050" t="0" r="0" b="0"/>
                        <wp:docPr id="1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2709545" cy="2203890"/>
                                </a:xfrm>
                                <a:prstGeom prst="rect">
                                  <a:avLst/>
                                </a:prstGeom>
                                <a:noFill/>
                                <a:ln w="9525">
                                  <a:noFill/>
                                  <a:miter lim="800000"/>
                                  <a:headEnd/>
                                  <a:tailEnd/>
                                </a:ln>
                              </pic:spPr>
                            </pic:pic>
                          </a:graphicData>
                        </a:graphic>
                      </wp:inline>
                    </w:drawing>
                  </w:r>
                </w:p>
                <w:p w:rsidR="006F63B5" w:rsidRDefault="006F63B5" w:rsidP="00116403">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6F63B5" w:rsidRPr="00FD5F5E" w:rsidRDefault="006F63B5" w:rsidP="00116403">
                  <w:pPr>
                    <w:rPr>
                      <w:lang w:val="mk-MK"/>
                    </w:rPr>
                  </w:pPr>
                  <w:r>
                    <w:rPr>
                      <w:sz w:val="18"/>
                      <w:szCs w:val="18"/>
                      <w:lang w:val="mk-MK"/>
                    </w:rPr>
                    <w:t>Забелешка</w:t>
                  </w:r>
                  <w:r w:rsidRPr="00D22DB7">
                    <w:rPr>
                      <w:sz w:val="18"/>
                      <w:szCs w:val="18"/>
                      <w:lang w:val="mk-MK"/>
                    </w:rPr>
                    <w:t xml:space="preserve">: </w:t>
                  </w:r>
                  <w:r>
                    <w:rPr>
                      <w:sz w:val="18"/>
                      <w:szCs w:val="18"/>
                      <w:lang w:val="mk-MK"/>
                    </w:rPr>
                    <w:t xml:space="preserve">На графиконот не се прикажани одбитните ставки од основниот и дополнителниот капитал. </w:t>
                  </w:r>
                </w:p>
                <w:p w:rsidR="006F63B5" w:rsidRPr="0009392A" w:rsidRDefault="006F63B5" w:rsidP="00116403">
                  <w:pPr>
                    <w:rPr>
                      <w:lang w:val="mk-MK"/>
                    </w:rPr>
                  </w:pPr>
                </w:p>
                <w:p w:rsidR="006F63B5" w:rsidRPr="00EE26CC" w:rsidRDefault="006F63B5" w:rsidP="00116403">
                  <w:pPr>
                    <w:rPr>
                      <w:lang w:val="mk-MK"/>
                    </w:rPr>
                  </w:pPr>
                </w:p>
                <w:p w:rsidR="006F63B5" w:rsidRPr="00303B89" w:rsidRDefault="006F63B5" w:rsidP="00116403">
                  <w:pPr>
                    <w:rPr>
                      <w:lang w:val="mk-MK"/>
                    </w:rPr>
                  </w:pPr>
                </w:p>
                <w:p w:rsidR="006F63B5" w:rsidRPr="00303B89" w:rsidRDefault="006F63B5" w:rsidP="00116403">
                  <w:pPr>
                    <w:rPr>
                      <w:lang w:val="mk-MK"/>
                    </w:rPr>
                  </w:pPr>
                </w:p>
                <w:p w:rsidR="006F63B5" w:rsidRDefault="006F63B5" w:rsidP="00116403">
                  <w:pPr>
                    <w:pStyle w:val="Caption"/>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r w:rsidRPr="008476D5">
                    <w:rPr>
                      <w:sz w:val="20"/>
                      <w:szCs w:val="20"/>
                      <w:lang w:val="mk-MK"/>
                    </w:rPr>
                    <w:t>Извор:</w:t>
                  </w:r>
                </w:p>
              </w:txbxContent>
            </v:textbox>
          </v:shape>
        </w:pict>
      </w:r>
      <w:r w:rsidR="00C35A99" w:rsidRPr="00B63768">
        <w:rPr>
          <w:rFonts w:cs="Tahoma"/>
          <w:bCs/>
          <w:lang w:val="mk-MK"/>
        </w:rPr>
        <w:t>Во структурата на дополнителниот капитал на банкарскиот систем, дозволениот износ на субординираните инструменти забележа квартален раст од 54 милиони денари</w:t>
      </w:r>
      <w:r w:rsidR="00C35A99" w:rsidRPr="00B63768">
        <w:rPr>
          <w:rStyle w:val="FootnoteReference"/>
          <w:rFonts w:cs="Tahoma"/>
          <w:bCs/>
          <w:lang w:val="mk-MK"/>
        </w:rPr>
        <w:footnoteReference w:id="47"/>
      </w:r>
      <w:r w:rsidR="00C35A99" w:rsidRPr="00B63768">
        <w:rPr>
          <w:rFonts w:cs="Tahoma"/>
          <w:bCs/>
          <w:lang w:val="mk-MK"/>
        </w:rPr>
        <w:t xml:space="preserve">. </w:t>
      </w:r>
    </w:p>
    <w:p w:rsidR="00116403" w:rsidRPr="00B63768" w:rsidRDefault="00116403" w:rsidP="00116403">
      <w:pPr>
        <w:rPr>
          <w:rFonts w:cs="Tahoma"/>
          <w:b/>
          <w:bCs/>
          <w:lang w:val="mk-MK"/>
        </w:rPr>
      </w:pPr>
    </w:p>
    <w:p w:rsidR="00116403" w:rsidRPr="00B63768" w:rsidRDefault="00116403" w:rsidP="00116403">
      <w:pPr>
        <w:ind w:firstLine="709"/>
        <w:rPr>
          <w:rFonts w:cs="Tahoma"/>
          <w:bCs/>
          <w:lang w:val="mk-MK"/>
        </w:rPr>
      </w:pPr>
      <w:r w:rsidRPr="00B63768">
        <w:rPr>
          <w:rFonts w:cs="Tahoma"/>
          <w:bCs/>
          <w:lang w:val="mk-MK"/>
        </w:rPr>
        <w:t xml:space="preserve">Повеќе детали во врска со нивото на сопствените средства на одделните групи банки се прикажани во </w:t>
      </w:r>
      <w:r w:rsidR="0064235F" w:rsidRPr="00B63768">
        <w:rPr>
          <w:rFonts w:cs="Tahoma"/>
          <w:bCs/>
          <w:lang w:val="mk-MK"/>
        </w:rPr>
        <w:t>анексот бр. 33.</w:t>
      </w:r>
    </w:p>
    <w:p w:rsidR="00116403" w:rsidRPr="00B63768" w:rsidRDefault="00116403" w:rsidP="00116403">
      <w:pPr>
        <w:ind w:firstLine="709"/>
        <w:rPr>
          <w:rFonts w:cs="Tahoma"/>
          <w:bCs/>
          <w:lang w:val="mk-MK"/>
        </w:rPr>
      </w:pPr>
    </w:p>
    <w:p w:rsidR="00116403" w:rsidRPr="00B63768" w:rsidRDefault="00116403" w:rsidP="003B2315">
      <w:pPr>
        <w:pStyle w:val="Heading3"/>
      </w:pPr>
      <w:bookmarkStart w:id="127" w:name="_Toc342911644"/>
      <w:bookmarkStart w:id="128" w:name="_Toc350954367"/>
      <w:bookmarkStart w:id="129" w:name="_Toc351029792"/>
      <w:bookmarkStart w:id="130" w:name="_Toc360003045"/>
      <w:bookmarkStart w:id="131" w:name="_Toc362007066"/>
      <w:bookmarkEnd w:id="127"/>
      <w:r w:rsidRPr="00B63768">
        <w:t>Движења и структура на капиталните барања и слободниот капитал на банкарскиот систем</w:t>
      </w:r>
      <w:bookmarkEnd w:id="128"/>
      <w:bookmarkEnd w:id="129"/>
      <w:bookmarkEnd w:id="130"/>
      <w:bookmarkEnd w:id="131"/>
    </w:p>
    <w:p w:rsidR="00116403" w:rsidRPr="00B63768" w:rsidRDefault="00116403" w:rsidP="00116403">
      <w:pPr>
        <w:rPr>
          <w:lang w:val="mk-MK"/>
        </w:rPr>
      </w:pPr>
    </w:p>
    <w:p w:rsidR="00116403" w:rsidRPr="00B63768" w:rsidRDefault="00040D2C" w:rsidP="00384406">
      <w:pPr>
        <w:ind w:firstLine="709"/>
        <w:rPr>
          <w:rFonts w:cs="Tahoma"/>
          <w:bCs/>
          <w:lang w:val="mk-MK"/>
        </w:rPr>
      </w:pPr>
      <w:r w:rsidRPr="00040D2C">
        <w:rPr>
          <w:lang w:val="mk-MK"/>
        </w:rPr>
        <w:pict>
          <v:shape id="_x0000_s1076" type="#_x0000_t202" style="position:absolute;left:0;text-align:left;margin-left:-232.3pt;margin-top:85.05pt;width:219.8pt;height:243pt;z-index:251714560;v-text-anchor:middle" strokecolor="black [3213]">
            <v:textbox style="mso-next-textbox:#_x0000_s1076" inset="1mm,1mm,1mm,1mm">
              <w:txbxContent>
                <w:p w:rsidR="006F63B5" w:rsidRPr="003257F9" w:rsidRDefault="006F63B5" w:rsidP="00116403">
                  <w:pPr>
                    <w:pStyle w:val="Caption"/>
                    <w:rPr>
                      <w:rFonts w:cs="Tahoma"/>
                      <w:szCs w:val="20"/>
                    </w:rPr>
                  </w:pPr>
                  <w:bookmarkStart w:id="132" w:name="_Toc360003068"/>
                  <w:r>
                    <w:rPr>
                      <w:szCs w:val="20"/>
                    </w:rPr>
                    <w:t>Графико</w:t>
                  </w:r>
                  <w:r>
                    <w:rPr>
                      <w:szCs w:val="20"/>
                      <w:lang w:val="mk-MK"/>
                    </w:rPr>
                    <w:t>н</w:t>
                  </w:r>
                  <w:r w:rsidRPr="003257F9">
                    <w:rPr>
                      <w:szCs w:val="20"/>
                    </w:rPr>
                    <w:t xml:space="preserve"> бр. </w:t>
                  </w:r>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60</w:t>
                  </w:r>
                  <w:r w:rsidR="00040D2C">
                    <w:rPr>
                      <w:szCs w:val="20"/>
                    </w:rPr>
                    <w:fldChar w:fldCharType="end"/>
                  </w:r>
                  <w:r w:rsidRPr="003257F9">
                    <w:rPr>
                      <w:rFonts w:cs="Tahoma"/>
                      <w:szCs w:val="20"/>
                      <w:lang w:val="mk-MK"/>
                    </w:rPr>
                    <w:t xml:space="preserve"> </w:t>
                  </w:r>
                  <w:r>
                    <w:rPr>
                      <w:rFonts w:cs="Tahoma"/>
                      <w:szCs w:val="20"/>
                      <w:lang w:val="mk-MK"/>
                    </w:rPr>
                    <w:t>Годишна, апсолутна и релативна, промена на капиталните барања</w:t>
                  </w:r>
                  <w:bookmarkEnd w:id="132"/>
                  <w:r w:rsidRPr="003257F9">
                    <w:rPr>
                      <w:rFonts w:cs="Tahoma"/>
                      <w:szCs w:val="20"/>
                      <w:lang w:val="mk-MK"/>
                    </w:rPr>
                    <w:t xml:space="preserve"> </w:t>
                  </w:r>
                </w:p>
                <w:p w:rsidR="006F63B5" w:rsidRDefault="006F63B5" w:rsidP="00116403">
                  <w:r w:rsidRPr="00827AAF">
                    <w:rPr>
                      <w:noProof/>
                    </w:rPr>
                    <w:drawing>
                      <wp:inline distT="0" distB="0" distL="0" distR="0">
                        <wp:extent cx="2657340" cy="2208362"/>
                        <wp:effectExtent l="19050" t="0" r="0"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2659940" cy="2210522"/>
                                </a:xfrm>
                                <a:prstGeom prst="rect">
                                  <a:avLst/>
                                </a:prstGeom>
                                <a:noFill/>
                                <a:ln w="9525">
                                  <a:noFill/>
                                  <a:miter lim="800000"/>
                                  <a:headEnd/>
                                  <a:tailEnd/>
                                </a:ln>
                              </pic:spPr>
                            </pic:pic>
                          </a:graphicData>
                        </a:graphic>
                      </wp:inline>
                    </w:drawing>
                  </w:r>
                </w:p>
                <w:p w:rsidR="006F63B5" w:rsidRDefault="006F63B5" w:rsidP="00116403">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6F63B5" w:rsidRPr="00FD5F5E" w:rsidRDefault="006F63B5" w:rsidP="00116403">
                  <w:pPr>
                    <w:rPr>
                      <w:lang w:val="mk-MK"/>
                    </w:rPr>
                  </w:pPr>
                </w:p>
                <w:p w:rsidR="006F63B5" w:rsidRPr="0009392A" w:rsidRDefault="006F63B5" w:rsidP="00116403">
                  <w:pPr>
                    <w:rPr>
                      <w:lang w:val="mk-MK"/>
                    </w:rPr>
                  </w:pPr>
                </w:p>
                <w:p w:rsidR="006F63B5" w:rsidRPr="00EE26CC" w:rsidRDefault="006F63B5" w:rsidP="00116403">
                  <w:pPr>
                    <w:rPr>
                      <w:lang w:val="mk-MK"/>
                    </w:rPr>
                  </w:pPr>
                </w:p>
                <w:p w:rsidR="006F63B5" w:rsidRDefault="006F63B5" w:rsidP="00116403"/>
                <w:p w:rsidR="006F63B5" w:rsidRPr="00EE26CC" w:rsidRDefault="006F63B5" w:rsidP="00116403"/>
                <w:p w:rsidR="006F63B5" w:rsidRDefault="006F63B5" w:rsidP="00116403">
                  <w:pPr>
                    <w:pStyle w:val="Caption"/>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r w:rsidRPr="008476D5">
                    <w:rPr>
                      <w:sz w:val="20"/>
                      <w:szCs w:val="20"/>
                      <w:lang w:val="mk-MK"/>
                    </w:rPr>
                    <w:t>Извор:</w:t>
                  </w:r>
                </w:p>
              </w:txbxContent>
            </v:textbox>
          </v:shape>
        </w:pict>
      </w:r>
      <w:r w:rsidR="00116403" w:rsidRPr="00B63768">
        <w:rPr>
          <w:rFonts w:cs="Tahoma"/>
          <w:b/>
          <w:bCs/>
          <w:lang w:val="mk-MK"/>
        </w:rPr>
        <w:t>Во првиот квартал од 2013 година, капиталните барања</w:t>
      </w:r>
      <w:r w:rsidR="00116403" w:rsidRPr="00B63768">
        <w:rPr>
          <w:rStyle w:val="FootnoteReference"/>
          <w:rFonts w:cs="Tahoma"/>
          <w:b/>
          <w:bCs/>
          <w:lang w:val="mk-MK"/>
        </w:rPr>
        <w:footnoteReference w:id="48"/>
      </w:r>
      <w:r w:rsidR="00116403" w:rsidRPr="00B63768">
        <w:rPr>
          <w:rFonts w:cs="Tahoma"/>
          <w:b/>
          <w:bCs/>
          <w:lang w:val="mk-MK"/>
        </w:rPr>
        <w:t xml:space="preserve"> на банкарскиот систем бележат пад од 305 милиони денари, или за 1,5%. На годишна основа, капиталните барања се зголемија за 314 милиони денари, или за 1,6%, што претставува најнизок </w:t>
      </w:r>
      <w:r w:rsidR="009E2735">
        <w:rPr>
          <w:rFonts w:cs="Tahoma"/>
          <w:b/>
          <w:bCs/>
          <w:lang w:val="mk-MK"/>
        </w:rPr>
        <w:t>забележан</w:t>
      </w:r>
      <w:r w:rsidR="009E2735" w:rsidRPr="00B63768">
        <w:rPr>
          <w:rFonts w:cs="Tahoma"/>
          <w:b/>
          <w:bCs/>
          <w:lang w:val="mk-MK"/>
        </w:rPr>
        <w:t xml:space="preserve"> </w:t>
      </w:r>
      <w:r w:rsidR="00116403" w:rsidRPr="00B63768">
        <w:rPr>
          <w:rFonts w:cs="Tahoma"/>
          <w:b/>
          <w:bCs/>
          <w:lang w:val="mk-MK"/>
        </w:rPr>
        <w:t xml:space="preserve">годишен раст во последните десетина години. </w:t>
      </w:r>
      <w:r w:rsidR="00116403" w:rsidRPr="00B63768">
        <w:rPr>
          <w:rFonts w:cs="Tahoma"/>
          <w:bCs/>
          <w:lang w:val="mk-MK"/>
        </w:rPr>
        <w:t>Кварталниот пад на капиталните барања е последица на намалувањето на капиталните барања за покривање на кредитниот (за 173 милиони денари или 1%) и валутниот ризик (за 186 милиони денари, или за 28,2%). Наспроти ваквите движења, капиталните барања за покривање на оперативниот ризик забележаа зголемување од 53 милиони денари (или за 2,4%).</w:t>
      </w:r>
    </w:p>
    <w:p w:rsidR="00384406" w:rsidRPr="00B63768" w:rsidRDefault="00384406" w:rsidP="00116403">
      <w:pPr>
        <w:ind w:firstLine="709"/>
        <w:rPr>
          <w:rFonts w:cs="Tahoma"/>
          <w:b/>
          <w:bCs/>
          <w:lang w:val="mk-MK"/>
        </w:rPr>
      </w:pPr>
    </w:p>
    <w:p w:rsidR="00116403" w:rsidRPr="00B63768" w:rsidRDefault="00116403" w:rsidP="00116403">
      <w:pPr>
        <w:ind w:firstLine="709"/>
        <w:rPr>
          <w:rFonts w:cs="Tahoma"/>
          <w:bCs/>
          <w:lang w:val="mk-MK"/>
        </w:rPr>
      </w:pPr>
      <w:r w:rsidRPr="00B63768">
        <w:rPr>
          <w:rFonts w:cs="Tahoma"/>
          <w:b/>
          <w:bCs/>
          <w:lang w:val="mk-MK"/>
        </w:rPr>
        <w:t>Кварталниот пад на капиталните барања за покривање на кредитниот ризик најмногу произлегува од намалувањето на побарувањата од други трговски друштва и</w:t>
      </w:r>
      <w:r w:rsidRPr="00B63768">
        <w:rPr>
          <w:rFonts w:cs="Tahoma"/>
          <w:bCs/>
          <w:lang w:val="mk-MK"/>
        </w:rPr>
        <w:t xml:space="preserve"> </w:t>
      </w:r>
      <w:r w:rsidRPr="00B63768">
        <w:rPr>
          <w:rFonts w:cs="Tahoma"/>
          <w:b/>
          <w:bCs/>
          <w:lang w:val="mk-MK"/>
        </w:rPr>
        <w:t>на вонбилансните побарувања од банките.</w:t>
      </w:r>
      <w:r w:rsidRPr="00B63768">
        <w:rPr>
          <w:rFonts w:cs="Tahoma"/>
          <w:bCs/>
          <w:lang w:val="mk-MK"/>
        </w:rPr>
        <w:t xml:space="preserve"> Наспроти ваквите движења, вкупната билансна и вонбилансна </w:t>
      </w:r>
      <w:r w:rsidRPr="00B63768">
        <w:rPr>
          <w:rFonts w:cs="Tahoma"/>
          <w:bCs/>
          <w:lang w:val="mk-MK"/>
        </w:rPr>
        <w:lastRenderedPageBreak/>
        <w:t xml:space="preserve">изложеност на банкарскиот систем бележи квартален раст којшто е најмногу резултат на зголемувањето на побарувањата од централни влади и централни банки (пред сѐ, врз основа на вложувања во домашни државни записи и во депозити кај </w:t>
      </w:r>
      <w:r w:rsidR="003A3B3E" w:rsidRPr="00B63768">
        <w:rPr>
          <w:rFonts w:cs="Tahoma"/>
          <w:bCs/>
          <w:lang w:val="mk-MK"/>
        </w:rPr>
        <w:t>Народната банка</w:t>
      </w:r>
      <w:r w:rsidRPr="00B63768">
        <w:rPr>
          <w:rFonts w:cs="Tahoma"/>
          <w:bCs/>
          <w:lang w:val="mk-MK"/>
        </w:rPr>
        <w:t>), кои</w:t>
      </w:r>
      <w:r w:rsidR="009E2735">
        <w:rPr>
          <w:rFonts w:cs="Tahoma"/>
          <w:bCs/>
          <w:lang w:val="mk-MK"/>
        </w:rPr>
        <w:t>што</w:t>
      </w:r>
      <w:r w:rsidRPr="00B63768">
        <w:rPr>
          <w:rFonts w:cs="Tahoma"/>
          <w:bCs/>
          <w:lang w:val="mk-MK"/>
        </w:rPr>
        <w:t xml:space="preserve"> не се вклучуваат во пресметката на капиталните барања</w:t>
      </w:r>
      <w:r w:rsidR="00DD05E8" w:rsidRPr="00B63768">
        <w:rPr>
          <w:rFonts w:cs="Tahoma"/>
          <w:bCs/>
          <w:lang w:val="mk-MK"/>
        </w:rPr>
        <w:t xml:space="preserve"> за кредитен ризик</w:t>
      </w:r>
      <w:r w:rsidRPr="00B63768">
        <w:rPr>
          <w:rFonts w:cs="Tahoma"/>
          <w:bCs/>
          <w:lang w:val="mk-MK"/>
        </w:rPr>
        <w:t>. Ваквите промени упатуваат на зголемена претпазливост на банките во првиот квартал од 2013 година, при пласирањето на средствата и преземањето нови ризици.</w:t>
      </w:r>
    </w:p>
    <w:p w:rsidR="00116403" w:rsidRPr="00B63768" w:rsidRDefault="00040D2C" w:rsidP="00116403">
      <w:pPr>
        <w:ind w:firstLine="709"/>
        <w:rPr>
          <w:rFonts w:cs="Tahoma"/>
          <w:bCs/>
          <w:lang w:val="mk-MK"/>
        </w:rPr>
      </w:pPr>
      <w:r w:rsidRPr="00040D2C">
        <w:rPr>
          <w:rFonts w:cs="Tahoma"/>
          <w:b/>
          <w:bCs/>
          <w:lang w:val="mk-MK"/>
        </w:rPr>
        <w:pict>
          <v:shape id="_x0000_s1089" type="#_x0000_t202" style="position:absolute;left:0;text-align:left;margin-left:-226.6pt;margin-top:11.2pt;width:470.85pt;height:270.5pt;z-index:251727872">
            <v:textbox>
              <w:txbxContent>
                <w:p w:rsidR="006F63B5" w:rsidRDefault="006F63B5" w:rsidP="00384406">
                  <w:pPr>
                    <w:pStyle w:val="Caption"/>
                    <w:rPr>
                      <w:lang w:val="mk-MK"/>
                    </w:rPr>
                  </w:pPr>
                  <w:r>
                    <w:t xml:space="preserve">Табела бр.  </w:t>
                  </w:r>
                  <w:fldSimple w:instr=" SEQ Табела_бр._ \* ARABIC ">
                    <w:r>
                      <w:rPr>
                        <w:noProof/>
                      </w:rPr>
                      <w:t>6</w:t>
                    </w:r>
                  </w:fldSimple>
                  <w:r>
                    <w:rPr>
                      <w:lang w:val="mk-MK"/>
                    </w:rPr>
                    <w:t xml:space="preserve"> Капитални барања за покривање на кредитниот ризик, според категории на изложеност</w:t>
                  </w:r>
                </w:p>
                <w:p w:rsidR="006F63B5" w:rsidRDefault="006F63B5" w:rsidP="00384406">
                  <w:pPr>
                    <w:rPr>
                      <w:lang w:val="mk-MK"/>
                    </w:rPr>
                  </w:pPr>
                  <w:r w:rsidRPr="00384406">
                    <w:rPr>
                      <w:noProof/>
                    </w:rPr>
                    <w:drawing>
                      <wp:inline distT="0" distB="0" distL="0" distR="0">
                        <wp:extent cx="5787390" cy="2867329"/>
                        <wp:effectExtent l="19050" t="0" r="3810" b="0"/>
                        <wp:docPr id="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5787390" cy="2867329"/>
                                </a:xfrm>
                                <a:prstGeom prst="rect">
                                  <a:avLst/>
                                </a:prstGeom>
                                <a:noFill/>
                                <a:ln w="9525">
                                  <a:noFill/>
                                  <a:miter lim="800000"/>
                                  <a:headEnd/>
                                  <a:tailEnd/>
                                </a:ln>
                              </pic:spPr>
                            </pic:pic>
                          </a:graphicData>
                        </a:graphic>
                      </wp:inline>
                    </w:drawing>
                  </w:r>
                </w:p>
                <w:p w:rsidR="006F63B5" w:rsidRDefault="006F63B5" w:rsidP="00384406">
                  <w:pPr>
                    <w:rPr>
                      <w:rFonts w:cs="Tahoma"/>
                      <w:sz w:val="18"/>
                      <w:szCs w:val="18"/>
                      <w:lang w:val="mk-MK"/>
                    </w:rPr>
                  </w:pPr>
                  <w:r>
                    <w:rPr>
                      <w:rFonts w:cs="Tahoma"/>
                      <w:sz w:val="18"/>
                      <w:szCs w:val="18"/>
                      <w:lang w:val="mk-MK"/>
                    </w:rPr>
                    <w:t xml:space="preserve">Извор: </w:t>
                  </w:r>
                  <w:r w:rsidRPr="003978DD">
                    <w:rPr>
                      <w:rFonts w:cs="Tahoma"/>
                      <w:sz w:val="18"/>
                      <w:szCs w:val="18"/>
                      <w:lang w:val="mk-MK"/>
                    </w:rPr>
                    <w:t>Н</w:t>
                  </w:r>
                  <w:r w:rsidRPr="00D22DB7">
                    <w:rPr>
                      <w:rFonts w:cs="Tahoma"/>
                      <w:sz w:val="18"/>
                      <w:szCs w:val="18"/>
                      <w:lang w:val="mk-MK"/>
                    </w:rPr>
                    <w:t>a</w:t>
                  </w:r>
                  <w:r>
                    <w:rPr>
                      <w:rFonts w:cs="Tahoma"/>
                      <w:sz w:val="18"/>
                      <w:szCs w:val="18"/>
                      <w:lang w:val="mk-MK"/>
                    </w:rPr>
                    <w:t>родната банка</w:t>
                  </w:r>
                  <w:r w:rsidRPr="003978DD">
                    <w:rPr>
                      <w:rFonts w:cs="Tahoma"/>
                      <w:sz w:val="18"/>
                      <w:szCs w:val="18"/>
                      <w:lang w:val="mk-MK"/>
                    </w:rPr>
                    <w:t>, врз основа на податоците доставени од страна на банките</w:t>
                  </w:r>
                  <w:r>
                    <w:rPr>
                      <w:rFonts w:cs="Tahoma"/>
                      <w:sz w:val="18"/>
                      <w:szCs w:val="18"/>
                      <w:lang w:val="mk-MK"/>
                    </w:rPr>
                    <w:t>.</w:t>
                  </w:r>
                </w:p>
                <w:p w:rsidR="006F63B5" w:rsidRPr="00384406" w:rsidRDefault="006F63B5" w:rsidP="00384406">
                  <w:pPr>
                    <w:rPr>
                      <w:lang w:val="mk-MK"/>
                    </w:rPr>
                  </w:pPr>
                </w:p>
              </w:txbxContent>
            </v:textbox>
          </v:shape>
        </w:pict>
      </w: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D604AC" w:rsidRPr="00B63768" w:rsidRDefault="00D604AC" w:rsidP="00D604AC">
      <w:pPr>
        <w:ind w:firstLine="709"/>
        <w:rPr>
          <w:rFonts w:cs="Tahoma"/>
          <w:b/>
          <w:bCs/>
          <w:lang w:val="mk-MK"/>
        </w:rPr>
      </w:pPr>
      <w:r w:rsidRPr="00B63768">
        <w:rPr>
          <w:rFonts w:cs="Tahoma"/>
          <w:b/>
          <w:bCs/>
          <w:lang w:val="mk-MK"/>
        </w:rPr>
        <w:t xml:space="preserve">Кварталното намалување на капиталните барања за покривање на валутниот ризик произлегува од стеснувањето на </w:t>
      </w:r>
      <w:r w:rsidR="0017211A" w:rsidRPr="00B63768">
        <w:rPr>
          <w:rFonts w:cs="Tahoma"/>
          <w:b/>
          <w:bCs/>
          <w:lang w:val="mk-MK"/>
        </w:rPr>
        <w:t xml:space="preserve">долгата </w:t>
      </w:r>
      <w:r w:rsidRPr="00B63768">
        <w:rPr>
          <w:rFonts w:cs="Tahoma"/>
          <w:b/>
          <w:bCs/>
          <w:lang w:val="mk-MK"/>
        </w:rPr>
        <w:t>нето девизна позиција во евра</w:t>
      </w:r>
      <w:r w:rsidRPr="00B63768">
        <w:rPr>
          <w:rFonts w:cs="Tahoma"/>
          <w:bCs/>
          <w:lang w:val="mk-MK"/>
        </w:rPr>
        <w:t>, што пак е најмногу последица на падот на активата во евра (за 2.470 милион денари), при истовремен раст на пасивата во евра (за 1.825 милиони денари)</w:t>
      </w:r>
      <w:r w:rsidRPr="00B63768">
        <w:rPr>
          <w:rStyle w:val="FootnoteReference"/>
          <w:rFonts w:cs="Tahoma"/>
          <w:bCs/>
          <w:lang w:val="mk-MK"/>
        </w:rPr>
        <w:footnoteReference w:id="49"/>
      </w:r>
      <w:r w:rsidRPr="00B63768">
        <w:rPr>
          <w:rFonts w:cs="Tahoma"/>
          <w:bCs/>
          <w:lang w:val="mk-MK"/>
        </w:rPr>
        <w:t>.</w:t>
      </w:r>
    </w:p>
    <w:p w:rsidR="00384406" w:rsidRPr="00B63768" w:rsidRDefault="00384406" w:rsidP="00116403">
      <w:pPr>
        <w:ind w:firstLine="709"/>
        <w:rPr>
          <w:rFonts w:cs="Tahoma"/>
          <w:bCs/>
          <w:lang w:val="mk-MK"/>
        </w:rPr>
      </w:pPr>
    </w:p>
    <w:p w:rsidR="00384406" w:rsidRPr="00B63768" w:rsidRDefault="00384406" w:rsidP="00116403">
      <w:pPr>
        <w:ind w:firstLine="709"/>
        <w:rPr>
          <w:rFonts w:cs="Tahoma"/>
          <w:bCs/>
          <w:lang w:val="mk-MK"/>
        </w:rPr>
      </w:pPr>
    </w:p>
    <w:p w:rsidR="00116403" w:rsidRPr="00B63768" w:rsidRDefault="00116403" w:rsidP="00116403">
      <w:pPr>
        <w:ind w:left="-4536"/>
        <w:rPr>
          <w:rFonts w:cs="Tahoma"/>
          <w:b/>
          <w:bCs/>
          <w:lang w:val="mk-MK"/>
        </w:rPr>
      </w:pPr>
    </w:p>
    <w:p w:rsidR="00116403" w:rsidRPr="00B63768" w:rsidRDefault="00040D2C" w:rsidP="00116403">
      <w:pPr>
        <w:ind w:firstLine="709"/>
        <w:rPr>
          <w:rFonts w:cs="Tahoma"/>
          <w:b/>
          <w:bCs/>
          <w:lang w:val="mk-MK"/>
        </w:rPr>
      </w:pPr>
      <w:r w:rsidRPr="00040D2C">
        <w:rPr>
          <w:rFonts w:cs="Tahoma"/>
          <w:bCs/>
          <w:lang w:val="mk-MK"/>
        </w:rPr>
        <w:lastRenderedPageBreak/>
        <w:pict>
          <v:shape id="_x0000_s1092" type="#_x0000_t202" style="position:absolute;left:0;text-align:left;margin-left:-225.65pt;margin-top:-8.8pt;width:467.95pt;height:239.8pt;z-index:251728896">
            <v:textbox>
              <w:txbxContent>
                <w:p w:rsidR="006F63B5" w:rsidRDefault="006F63B5" w:rsidP="00384406">
                  <w:pPr>
                    <w:pStyle w:val="Caption"/>
                    <w:rPr>
                      <w:szCs w:val="20"/>
                      <w:lang w:val="mk-MK"/>
                    </w:rPr>
                  </w:pPr>
                  <w:r>
                    <w:t xml:space="preserve">Табела бр.  </w:t>
                  </w:r>
                  <w:fldSimple w:instr=" SEQ Табела_бр._ \* ARABIC ">
                    <w:r>
                      <w:rPr>
                        <w:noProof/>
                      </w:rPr>
                      <w:t>7</w:t>
                    </w:r>
                  </w:fldSimple>
                  <w:r>
                    <w:rPr>
                      <w:lang w:val="mk-MK"/>
                    </w:rPr>
                    <w:t xml:space="preserve"> Капитални барања за покривање на валутниот ризик</w:t>
                  </w:r>
                  <w:r>
                    <w:rPr>
                      <w:szCs w:val="20"/>
                      <w:lang w:val="mk-MK"/>
                    </w:rPr>
                    <w:t>, според нето девизните позиции по одделни валути</w:t>
                  </w:r>
                </w:p>
                <w:p w:rsidR="006F63B5" w:rsidRDefault="006F63B5" w:rsidP="00384406">
                  <w:pPr>
                    <w:rPr>
                      <w:lang w:val="mk-MK"/>
                    </w:rPr>
                  </w:pPr>
                  <w:r w:rsidRPr="00384406">
                    <w:rPr>
                      <w:noProof/>
                    </w:rPr>
                    <w:drawing>
                      <wp:inline distT="0" distB="0" distL="0" distR="0">
                        <wp:extent cx="5690870" cy="2453605"/>
                        <wp:effectExtent l="19050" t="0" r="5080" b="0"/>
                        <wp:docPr id="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a:stretch>
                                  <a:fillRect/>
                                </a:stretch>
                              </pic:blipFill>
                              <pic:spPr bwMode="auto">
                                <a:xfrm>
                                  <a:off x="0" y="0"/>
                                  <a:ext cx="5690870" cy="2453605"/>
                                </a:xfrm>
                                <a:prstGeom prst="rect">
                                  <a:avLst/>
                                </a:prstGeom>
                                <a:noFill/>
                                <a:ln w="9525">
                                  <a:noFill/>
                                  <a:miter lim="800000"/>
                                  <a:headEnd/>
                                  <a:tailEnd/>
                                </a:ln>
                              </pic:spPr>
                            </pic:pic>
                          </a:graphicData>
                        </a:graphic>
                      </wp:inline>
                    </w:drawing>
                  </w:r>
                </w:p>
                <w:p w:rsidR="006F63B5" w:rsidRDefault="006F63B5" w:rsidP="00384406">
                  <w:pPr>
                    <w:rPr>
                      <w:rFonts w:cs="Tahoma"/>
                      <w:sz w:val="18"/>
                      <w:szCs w:val="18"/>
                      <w:lang w:val="mk-MK"/>
                    </w:rPr>
                  </w:pPr>
                  <w:r>
                    <w:rPr>
                      <w:rFonts w:cs="Tahoma"/>
                      <w:sz w:val="18"/>
                      <w:szCs w:val="18"/>
                      <w:lang w:val="mk-MK"/>
                    </w:rPr>
                    <w:t xml:space="preserve">Извор: </w:t>
                  </w:r>
                  <w:r w:rsidRPr="003978DD">
                    <w:rPr>
                      <w:rFonts w:cs="Tahoma"/>
                      <w:sz w:val="18"/>
                      <w:szCs w:val="18"/>
                      <w:lang w:val="mk-MK"/>
                    </w:rPr>
                    <w:t>Н</w:t>
                  </w:r>
                  <w:r w:rsidRPr="00D22DB7">
                    <w:rPr>
                      <w:rFonts w:cs="Tahoma"/>
                      <w:sz w:val="18"/>
                      <w:szCs w:val="18"/>
                      <w:lang w:val="mk-MK"/>
                    </w:rPr>
                    <w:t>a</w:t>
                  </w:r>
                  <w:r>
                    <w:rPr>
                      <w:rFonts w:cs="Tahoma"/>
                      <w:sz w:val="18"/>
                      <w:szCs w:val="18"/>
                      <w:lang w:val="mk-MK"/>
                    </w:rPr>
                    <w:t>родната банка</w:t>
                  </w:r>
                  <w:r w:rsidRPr="003978DD">
                    <w:rPr>
                      <w:rFonts w:cs="Tahoma"/>
                      <w:sz w:val="18"/>
                      <w:szCs w:val="18"/>
                      <w:lang w:val="mk-MK"/>
                    </w:rPr>
                    <w:t>, врз основа на податоците доставени од страна на банките</w:t>
                  </w:r>
                  <w:r>
                    <w:rPr>
                      <w:rFonts w:cs="Tahoma"/>
                      <w:sz w:val="18"/>
                      <w:szCs w:val="18"/>
                      <w:lang w:val="mk-MK"/>
                    </w:rPr>
                    <w:t>.</w:t>
                  </w:r>
                </w:p>
                <w:p w:rsidR="006F63B5" w:rsidRPr="00384406" w:rsidRDefault="006F63B5" w:rsidP="00384406">
                  <w:pPr>
                    <w:rPr>
                      <w:lang w:val="mk-MK"/>
                    </w:rPr>
                  </w:pPr>
                </w:p>
              </w:txbxContent>
            </v:textbox>
          </v:shape>
        </w:pict>
      </w:r>
    </w:p>
    <w:p w:rsidR="00116403" w:rsidRPr="00B63768" w:rsidRDefault="00116403" w:rsidP="00116403">
      <w:pPr>
        <w:ind w:firstLine="709"/>
        <w:rPr>
          <w:rFonts w:cs="Tahoma"/>
          <w:b/>
          <w:bCs/>
          <w:lang w:val="mk-MK"/>
        </w:rPr>
      </w:pPr>
    </w:p>
    <w:p w:rsidR="00384406" w:rsidRPr="00B63768" w:rsidRDefault="00384406" w:rsidP="00116403">
      <w:pPr>
        <w:ind w:firstLine="709"/>
        <w:rPr>
          <w:rFonts w:cs="Tahoma"/>
          <w:b/>
          <w:bCs/>
          <w:lang w:val="mk-MK"/>
        </w:rPr>
      </w:pPr>
    </w:p>
    <w:p w:rsidR="00283564" w:rsidRPr="00B63768" w:rsidRDefault="00283564" w:rsidP="00116403">
      <w:pPr>
        <w:ind w:firstLine="709"/>
        <w:rPr>
          <w:rFonts w:cs="Tahoma"/>
          <w:b/>
          <w:bCs/>
          <w:lang w:val="mk-MK"/>
        </w:rPr>
      </w:pPr>
    </w:p>
    <w:p w:rsidR="00283564" w:rsidRPr="00B63768" w:rsidRDefault="00283564" w:rsidP="00116403">
      <w:pPr>
        <w:ind w:firstLine="709"/>
        <w:rPr>
          <w:rFonts w:cs="Tahoma"/>
          <w:b/>
          <w:bCs/>
          <w:lang w:val="mk-MK"/>
        </w:rPr>
      </w:pPr>
    </w:p>
    <w:p w:rsidR="00283564" w:rsidRPr="00B63768" w:rsidRDefault="00283564" w:rsidP="00116403">
      <w:pPr>
        <w:ind w:firstLine="709"/>
        <w:rPr>
          <w:rFonts w:cs="Tahoma"/>
          <w:b/>
          <w:bCs/>
          <w:lang w:val="mk-MK"/>
        </w:rPr>
      </w:pPr>
    </w:p>
    <w:p w:rsidR="00283564" w:rsidRPr="00B63768" w:rsidRDefault="00283564" w:rsidP="00116403">
      <w:pPr>
        <w:ind w:firstLine="709"/>
        <w:rPr>
          <w:rFonts w:cs="Tahoma"/>
          <w:b/>
          <w:bCs/>
          <w:lang w:val="mk-MK"/>
        </w:rPr>
      </w:pPr>
    </w:p>
    <w:p w:rsidR="00283564" w:rsidRPr="00B63768" w:rsidRDefault="00283564"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384406" w:rsidRPr="00B63768" w:rsidRDefault="00384406" w:rsidP="00116403">
      <w:pPr>
        <w:ind w:firstLine="709"/>
        <w:rPr>
          <w:rFonts w:cs="Tahoma"/>
          <w:b/>
          <w:bCs/>
          <w:lang w:val="mk-MK"/>
        </w:rPr>
      </w:pPr>
    </w:p>
    <w:p w:rsidR="00116403" w:rsidRPr="00B63768" w:rsidRDefault="00040D2C" w:rsidP="00116403">
      <w:pPr>
        <w:ind w:firstLine="709"/>
        <w:rPr>
          <w:rFonts w:cs="Tahoma"/>
          <w:b/>
          <w:bCs/>
          <w:lang w:val="mk-MK"/>
        </w:rPr>
      </w:pPr>
      <w:r w:rsidRPr="00040D2C">
        <w:rPr>
          <w:rFonts w:cs="Tahoma"/>
          <w:bCs/>
          <w:lang w:val="mk-MK"/>
        </w:rPr>
        <w:pict>
          <v:shape id="_x0000_s1077" type="#_x0000_t202" style="position:absolute;left:0;text-align:left;margin-left:-227.9pt;margin-top:2.2pt;width:219.8pt;height:289.5pt;z-index:251715584;v-text-anchor:middle" strokecolor="black [3213]">
            <v:textbox style="mso-next-textbox:#_x0000_s1077" inset="1mm,1mm,1mm,1mm">
              <w:txbxContent>
                <w:p w:rsidR="006F63B5" w:rsidRPr="003257F9" w:rsidRDefault="006F63B5" w:rsidP="00116403">
                  <w:pPr>
                    <w:pStyle w:val="Caption"/>
                    <w:rPr>
                      <w:rFonts w:cs="Tahoma"/>
                      <w:szCs w:val="20"/>
                    </w:rPr>
                  </w:pPr>
                  <w:bookmarkStart w:id="133" w:name="_Toc360003069"/>
                  <w:r>
                    <w:rPr>
                      <w:szCs w:val="20"/>
                    </w:rPr>
                    <w:t>Графико</w:t>
                  </w:r>
                  <w:r>
                    <w:rPr>
                      <w:szCs w:val="20"/>
                      <w:lang w:val="mk-MK"/>
                    </w:rPr>
                    <w:t>н</w:t>
                  </w:r>
                  <w:r w:rsidRPr="003257F9">
                    <w:rPr>
                      <w:szCs w:val="20"/>
                    </w:rPr>
                    <w:t xml:space="preserve"> бр. </w:t>
                  </w:r>
                  <w:r w:rsidR="00040D2C">
                    <w:rPr>
                      <w:szCs w:val="20"/>
                    </w:rPr>
                    <w:fldChar w:fldCharType="begin"/>
                  </w:r>
                  <w:r>
                    <w:rPr>
                      <w:szCs w:val="20"/>
                    </w:rPr>
                    <w:instrText xml:space="preserve"> SEQ Графикон_бр. \* ARABIC </w:instrText>
                  </w:r>
                  <w:r w:rsidR="00040D2C">
                    <w:rPr>
                      <w:szCs w:val="20"/>
                    </w:rPr>
                    <w:fldChar w:fldCharType="separate"/>
                  </w:r>
                  <w:r>
                    <w:rPr>
                      <w:noProof/>
                      <w:szCs w:val="20"/>
                    </w:rPr>
                    <w:t>61</w:t>
                  </w:r>
                  <w:r w:rsidR="00040D2C">
                    <w:rPr>
                      <w:szCs w:val="20"/>
                    </w:rPr>
                    <w:fldChar w:fldCharType="end"/>
                  </w:r>
                  <w:r w:rsidRPr="003257F9">
                    <w:rPr>
                      <w:rFonts w:cs="Tahoma"/>
                      <w:szCs w:val="20"/>
                      <w:lang w:val="mk-MK"/>
                    </w:rPr>
                    <w:t xml:space="preserve"> </w:t>
                  </w:r>
                  <w:r>
                    <w:rPr>
                      <w:rFonts w:cs="Tahoma"/>
                      <w:szCs w:val="20"/>
                      <w:lang w:val="mk-MK"/>
                    </w:rPr>
                    <w:t>Структура на сопствените средства, според употребата за покривање на одделни ризици</w:t>
                  </w:r>
                  <w:bookmarkEnd w:id="133"/>
                  <w:r w:rsidRPr="003257F9">
                    <w:rPr>
                      <w:rFonts w:cs="Tahoma"/>
                      <w:szCs w:val="20"/>
                      <w:lang w:val="mk-MK"/>
                    </w:rPr>
                    <w:t xml:space="preserve"> </w:t>
                  </w:r>
                </w:p>
                <w:p w:rsidR="006F63B5" w:rsidRDefault="006F63B5" w:rsidP="00116403">
                  <w:r w:rsidRPr="00A97D54">
                    <w:rPr>
                      <w:noProof/>
                    </w:rPr>
                    <w:drawing>
                      <wp:inline distT="0" distB="0" distL="0" distR="0">
                        <wp:extent cx="2709545" cy="2687912"/>
                        <wp:effectExtent l="19050" t="0" r="0" b="0"/>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srcRect/>
                                <a:stretch>
                                  <a:fillRect/>
                                </a:stretch>
                              </pic:blipFill>
                              <pic:spPr bwMode="auto">
                                <a:xfrm>
                                  <a:off x="0" y="0"/>
                                  <a:ext cx="2709545" cy="2687912"/>
                                </a:xfrm>
                                <a:prstGeom prst="rect">
                                  <a:avLst/>
                                </a:prstGeom>
                                <a:noFill/>
                                <a:ln w="9525">
                                  <a:noFill/>
                                  <a:miter lim="800000"/>
                                  <a:headEnd/>
                                  <a:tailEnd/>
                                </a:ln>
                              </pic:spPr>
                            </pic:pic>
                          </a:graphicData>
                        </a:graphic>
                      </wp:inline>
                    </w:drawing>
                  </w:r>
                </w:p>
                <w:p w:rsidR="006F63B5" w:rsidRDefault="006F63B5" w:rsidP="00116403">
                  <w:pPr>
                    <w:pStyle w:val="Caption"/>
                    <w:rPr>
                      <w:rFonts w:cs="Tahoma"/>
                      <w:b w:val="0"/>
                      <w:sz w:val="18"/>
                      <w:szCs w:val="18"/>
                      <w:lang w:val="mk-MK"/>
                    </w:rPr>
                  </w:pPr>
                  <w:r w:rsidRPr="00A72927">
                    <w:rPr>
                      <w:b w:val="0"/>
                      <w:sz w:val="18"/>
                      <w:szCs w:val="18"/>
                      <w:lang w:val="mk-MK"/>
                    </w:rPr>
                    <w:t>Извор:</w:t>
                  </w:r>
                  <w:r w:rsidRPr="00A72927">
                    <w:rPr>
                      <w:rFonts w:cs="Tahoma"/>
                      <w:b w:val="0"/>
                      <w:sz w:val="18"/>
                      <w:szCs w:val="18"/>
                      <w:lang w:val="mk-MK"/>
                    </w:rPr>
                    <w:t xml:space="preserve"> Н</w:t>
                  </w:r>
                  <w:r>
                    <w:rPr>
                      <w:rFonts w:cs="Tahoma"/>
                      <w:b w:val="0"/>
                      <w:sz w:val="18"/>
                      <w:szCs w:val="18"/>
                      <w:lang w:val="mk-MK"/>
                    </w:rPr>
                    <w:t>ародната банка</w:t>
                  </w:r>
                  <w:r w:rsidRPr="00A72927">
                    <w:rPr>
                      <w:rFonts w:cs="Tahoma"/>
                      <w:b w:val="0"/>
                      <w:sz w:val="18"/>
                      <w:szCs w:val="18"/>
                      <w:lang w:val="mk-MK"/>
                    </w:rPr>
                    <w:t>, врз основа на податоците доставени од страна на банките.</w:t>
                  </w:r>
                </w:p>
                <w:p w:rsidR="006F63B5" w:rsidRPr="00FD5F5E" w:rsidRDefault="006F63B5" w:rsidP="00116403">
                  <w:pPr>
                    <w:rPr>
                      <w:lang w:val="mk-MK"/>
                    </w:rPr>
                  </w:pPr>
                </w:p>
                <w:p w:rsidR="006F63B5" w:rsidRPr="0009392A" w:rsidRDefault="006F63B5" w:rsidP="00116403">
                  <w:pPr>
                    <w:rPr>
                      <w:lang w:val="mk-MK"/>
                    </w:rPr>
                  </w:pPr>
                </w:p>
                <w:p w:rsidR="006F63B5" w:rsidRPr="00EE26CC" w:rsidRDefault="006F63B5" w:rsidP="00116403">
                  <w:pPr>
                    <w:rPr>
                      <w:lang w:val="mk-MK"/>
                    </w:rPr>
                  </w:pPr>
                </w:p>
                <w:p w:rsidR="006F63B5" w:rsidRDefault="006F63B5" w:rsidP="00116403"/>
                <w:p w:rsidR="006F63B5" w:rsidRPr="00EE26CC" w:rsidRDefault="006F63B5" w:rsidP="00116403"/>
                <w:p w:rsidR="006F63B5" w:rsidRDefault="006F63B5" w:rsidP="00116403">
                  <w:pPr>
                    <w:pStyle w:val="Caption"/>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Default="006F63B5" w:rsidP="00116403">
                  <w:pPr>
                    <w:rPr>
                      <w:lang w:val="mk-MK"/>
                    </w:rPr>
                  </w:pPr>
                </w:p>
                <w:p w:rsidR="006F63B5" w:rsidRPr="008476D5" w:rsidRDefault="006F63B5" w:rsidP="00116403">
                  <w:pPr>
                    <w:rPr>
                      <w:sz w:val="20"/>
                      <w:szCs w:val="20"/>
                      <w:lang w:val="mk-MK"/>
                    </w:rPr>
                  </w:pPr>
                  <w:r w:rsidRPr="008476D5">
                    <w:rPr>
                      <w:sz w:val="20"/>
                      <w:szCs w:val="20"/>
                      <w:lang w:val="mk-MK"/>
                    </w:rPr>
                    <w:t>Извор:</w:t>
                  </w:r>
                </w:p>
              </w:txbxContent>
            </v:textbox>
          </v:shape>
        </w:pict>
      </w:r>
      <w:r w:rsidR="00116403" w:rsidRPr="00B63768">
        <w:rPr>
          <w:rFonts w:cs="Tahoma"/>
          <w:b/>
          <w:bCs/>
          <w:lang w:val="mk-MK"/>
        </w:rPr>
        <w:t xml:space="preserve">Зголемувањето на капиталните барања за покривање на оперативниот ризик во првите три месеци од 2013 година во целост </w:t>
      </w:r>
      <w:r w:rsidR="00A35985" w:rsidRPr="00B63768">
        <w:rPr>
          <w:rFonts w:cs="Tahoma"/>
          <w:b/>
          <w:bCs/>
          <w:lang w:val="mk-MK"/>
        </w:rPr>
        <w:t>произлегува од</w:t>
      </w:r>
      <w:r w:rsidR="00116403" w:rsidRPr="00B63768">
        <w:rPr>
          <w:rFonts w:cs="Tahoma"/>
          <w:b/>
          <w:bCs/>
          <w:lang w:val="mk-MK"/>
        </w:rPr>
        <w:t xml:space="preserve"> банките кои</w:t>
      </w:r>
      <w:r w:rsidR="00C1502D">
        <w:rPr>
          <w:rFonts w:cs="Tahoma"/>
          <w:b/>
          <w:bCs/>
          <w:lang w:val="mk-MK"/>
        </w:rPr>
        <w:t>што</w:t>
      </w:r>
      <w:r w:rsidR="00116403" w:rsidRPr="00B63768">
        <w:rPr>
          <w:rFonts w:cs="Tahoma"/>
          <w:b/>
          <w:bCs/>
          <w:lang w:val="mk-MK"/>
        </w:rPr>
        <w:t xml:space="preserve"> го утврдуваат овој капитал со примена на пристапот на базичен индикатор, а најмногу </w:t>
      </w:r>
      <w:r w:rsidR="00A35985" w:rsidRPr="00B63768">
        <w:rPr>
          <w:rFonts w:cs="Tahoma"/>
          <w:b/>
          <w:bCs/>
          <w:lang w:val="mk-MK"/>
        </w:rPr>
        <w:t xml:space="preserve">е резултат на </w:t>
      </w:r>
      <w:r w:rsidR="00116403" w:rsidRPr="00B63768">
        <w:rPr>
          <w:rFonts w:cs="Tahoma"/>
          <w:b/>
          <w:bCs/>
          <w:lang w:val="mk-MK"/>
        </w:rPr>
        <w:t xml:space="preserve"> намалените расходи од провизии. </w:t>
      </w:r>
      <w:r w:rsidR="00116403" w:rsidRPr="00B63768">
        <w:rPr>
          <w:rFonts w:cs="Tahoma"/>
          <w:bCs/>
          <w:lang w:val="mk-MK"/>
        </w:rPr>
        <w:t xml:space="preserve">Имајќи предвид дека, согласно со регулативата, </w:t>
      </w:r>
      <w:r w:rsidR="00116403" w:rsidRPr="00B63768">
        <w:rPr>
          <w:lang w:val="mk-MK"/>
        </w:rPr>
        <w:t>б</w:t>
      </w:r>
      <w:r w:rsidR="00D22DB7" w:rsidRPr="00B63768">
        <w:rPr>
          <w:lang w:val="mk-MK"/>
        </w:rPr>
        <w:t>азичниот индикатор се пресметува на годишна основа за периодот што завршува на крајот на финансиската година (31.12.)</w:t>
      </w:r>
      <w:r w:rsidR="00116403" w:rsidRPr="00B63768">
        <w:rPr>
          <w:lang w:val="mk-MK"/>
        </w:rPr>
        <w:t>, промените во нивото на капитал</w:t>
      </w:r>
      <w:r w:rsidR="00C1502D">
        <w:rPr>
          <w:lang w:val="mk-MK"/>
        </w:rPr>
        <w:t>от</w:t>
      </w:r>
      <w:r w:rsidR="00116403" w:rsidRPr="00B63768">
        <w:rPr>
          <w:lang w:val="mk-MK"/>
        </w:rPr>
        <w:t xml:space="preserve"> потребен за покривање на оперативниот ризик произлегуваат од ревидирањето на годишните финансиски извештаи кај одделни банки.</w:t>
      </w:r>
      <w:r w:rsidR="00D22DB7" w:rsidRPr="00B63768">
        <w:rPr>
          <w:lang w:val="mk-MK"/>
        </w:rPr>
        <w:t xml:space="preserve"> </w:t>
      </w:r>
      <w:r w:rsidR="00116403" w:rsidRPr="00B63768">
        <w:rPr>
          <w:rFonts w:cs="Tahoma"/>
          <w:b/>
          <w:bCs/>
          <w:lang w:val="mk-MK"/>
        </w:rPr>
        <w:t xml:space="preserve">  </w:t>
      </w:r>
    </w:p>
    <w:p w:rsidR="00116403" w:rsidRPr="00B63768" w:rsidRDefault="00116403" w:rsidP="00116403">
      <w:pPr>
        <w:rPr>
          <w:rFonts w:cs="Tahoma"/>
          <w:bCs/>
          <w:lang w:val="mk-MK"/>
        </w:rPr>
      </w:pPr>
    </w:p>
    <w:p w:rsidR="00116403" w:rsidRPr="00B63768" w:rsidRDefault="00116403" w:rsidP="00116403">
      <w:pPr>
        <w:ind w:firstLine="709"/>
        <w:rPr>
          <w:rFonts w:cs="Tahoma"/>
          <w:b/>
          <w:bCs/>
          <w:lang w:val="mk-MK"/>
        </w:rPr>
      </w:pPr>
      <w:r w:rsidRPr="00B63768">
        <w:rPr>
          <w:rFonts w:cs="Tahoma"/>
          <w:b/>
          <w:bCs/>
          <w:lang w:val="mk-MK"/>
        </w:rPr>
        <w:t xml:space="preserve">Повисокиот квартален пад на капиталните барања во споредба со намалувањето на сопствените средства придонесе за квартален раст на слободниот капитал над минималното ниво потребно за покривање на ризиците (од 199 милиони денари или за 0,8%), што предизвика зајакнување на неговото учество во вкупните сопствени средства, од 53,3% на 53,8%. </w:t>
      </w:r>
    </w:p>
    <w:p w:rsidR="00116403" w:rsidRPr="00B63768" w:rsidRDefault="00116403" w:rsidP="00116403">
      <w:pPr>
        <w:ind w:firstLine="709"/>
        <w:rPr>
          <w:rFonts w:cs="Tahoma"/>
          <w:b/>
          <w:bCs/>
          <w:lang w:val="mk-MK"/>
        </w:rPr>
      </w:pPr>
    </w:p>
    <w:p w:rsidR="00116403" w:rsidRPr="00B63768" w:rsidRDefault="00116403" w:rsidP="00116403">
      <w:pPr>
        <w:ind w:firstLine="720"/>
        <w:rPr>
          <w:rFonts w:cs="Tahoma"/>
          <w:bCs/>
          <w:lang w:val="mk-MK"/>
        </w:rPr>
      </w:pPr>
      <w:r w:rsidRPr="00B63768">
        <w:rPr>
          <w:rFonts w:cs="Tahoma"/>
          <w:bCs/>
          <w:lang w:val="mk-MK"/>
        </w:rPr>
        <w:t xml:space="preserve">Повеќе детали во врска со нивото на капиталот потребен за покривање на ризиците </w:t>
      </w:r>
      <w:r w:rsidRPr="00B63768">
        <w:rPr>
          <w:rFonts w:cs="Tahoma"/>
          <w:bCs/>
          <w:lang w:val="mk-MK"/>
        </w:rPr>
        <w:lastRenderedPageBreak/>
        <w:t xml:space="preserve">и стапката на адекватност на капиталот, по одделни групи банки може да се најдат во </w:t>
      </w:r>
      <w:r w:rsidR="0064235F" w:rsidRPr="00B63768">
        <w:rPr>
          <w:rFonts w:cs="Tahoma"/>
          <w:bCs/>
          <w:lang w:val="mk-MK"/>
        </w:rPr>
        <w:t>анексот бр. 34.</w:t>
      </w:r>
    </w:p>
    <w:p w:rsidR="00116403" w:rsidRPr="00B63768" w:rsidRDefault="00116403" w:rsidP="00116403">
      <w:pPr>
        <w:rPr>
          <w:lang w:val="mk-MK"/>
        </w:rPr>
      </w:pPr>
    </w:p>
    <w:p w:rsidR="00116403" w:rsidRPr="00B63768" w:rsidRDefault="00116403" w:rsidP="003B2315">
      <w:pPr>
        <w:pStyle w:val="Heading3"/>
      </w:pPr>
      <w:bookmarkStart w:id="134" w:name="_Toc350954368"/>
      <w:bookmarkStart w:id="135" w:name="_Toc351029793"/>
      <w:bookmarkStart w:id="136" w:name="_Toc360003046"/>
      <w:bookmarkStart w:id="137" w:name="_Toc362007067"/>
      <w:r w:rsidRPr="00B63768">
        <w:t>Стрес-тестирање на отпорноста на банкарскиот систем на хипотетички шокови</w:t>
      </w:r>
      <w:bookmarkEnd w:id="134"/>
      <w:bookmarkEnd w:id="135"/>
      <w:bookmarkEnd w:id="136"/>
      <w:bookmarkEnd w:id="137"/>
    </w:p>
    <w:p w:rsidR="00BF7D49" w:rsidRPr="00B63768" w:rsidRDefault="00BF7D49" w:rsidP="00116403">
      <w:pPr>
        <w:ind w:firstLine="709"/>
        <w:rPr>
          <w:lang w:val="mk-MK"/>
        </w:rPr>
      </w:pPr>
    </w:p>
    <w:p w:rsidR="00D604AC" w:rsidRPr="00B63768" w:rsidRDefault="00116403" w:rsidP="00D604AC">
      <w:pPr>
        <w:ind w:firstLine="709"/>
        <w:rPr>
          <w:rFonts w:cs="Tahoma"/>
          <w:bCs/>
          <w:lang w:val="mk-MK"/>
        </w:rPr>
      </w:pPr>
      <w:r w:rsidRPr="00B63768">
        <w:rPr>
          <w:lang w:val="mk-MK"/>
        </w:rPr>
        <w:t>Спроведените симулации за тестирање на отпорноста на банкарскиот систем и на одделните банки во Република Македонија</w:t>
      </w:r>
      <w:r w:rsidRPr="00B63768">
        <w:rPr>
          <w:rFonts w:cs="Tahoma"/>
          <w:bCs/>
          <w:lang w:val="mk-MK"/>
        </w:rPr>
        <w:t xml:space="preserve"> на симулирани шокови упатуваат на послаби резултати</w:t>
      </w:r>
      <w:r w:rsidR="00C1502D">
        <w:rPr>
          <w:rFonts w:cs="Tahoma"/>
          <w:bCs/>
          <w:lang w:val="mk-MK"/>
        </w:rPr>
        <w:t>,</w:t>
      </w:r>
      <w:r w:rsidRPr="00B63768">
        <w:rPr>
          <w:rFonts w:cs="Tahoma"/>
          <w:bCs/>
          <w:lang w:val="mk-MK"/>
        </w:rPr>
        <w:t xml:space="preserve"> во споредба со крајот на 201</w:t>
      </w:r>
      <w:r w:rsidR="00D22DB7" w:rsidRPr="00B63768">
        <w:rPr>
          <w:rFonts w:cs="Tahoma"/>
          <w:bCs/>
          <w:lang w:val="mk-MK"/>
        </w:rPr>
        <w:t>2</w:t>
      </w:r>
      <w:r w:rsidRPr="00B63768">
        <w:rPr>
          <w:rFonts w:cs="Tahoma"/>
          <w:bCs/>
          <w:lang w:val="mk-MK"/>
        </w:rPr>
        <w:t xml:space="preserve"> година</w:t>
      </w:r>
      <w:r w:rsidR="00D22DB7" w:rsidRPr="00B63768">
        <w:rPr>
          <w:rFonts w:cs="Tahoma"/>
          <w:bCs/>
          <w:lang w:val="mk-MK"/>
        </w:rPr>
        <w:t xml:space="preserve"> </w:t>
      </w:r>
      <w:r w:rsidRPr="00B63768">
        <w:rPr>
          <w:rFonts w:cs="Tahoma"/>
          <w:bCs/>
          <w:lang w:val="mk-MK"/>
        </w:rPr>
        <w:t>и во однос на 31.3.2012 година.</w:t>
      </w:r>
      <w:r w:rsidR="00DD05E8" w:rsidRPr="00B63768">
        <w:rPr>
          <w:rFonts w:cs="Tahoma"/>
          <w:bCs/>
          <w:lang w:val="mk-MK"/>
        </w:rPr>
        <w:t xml:space="preserve"> Сепак, стапката на адекватност на капиталот на ниво на банкарскиот систем не се намалува под 8% при ниту една од симулациите, иако </w:t>
      </w:r>
      <w:r w:rsidR="00E35961">
        <w:rPr>
          <w:rFonts w:cs="Tahoma"/>
          <w:bCs/>
          <w:lang w:val="mk-MK"/>
        </w:rPr>
        <w:t>кај</w:t>
      </w:r>
      <w:r w:rsidR="00E35961" w:rsidRPr="00B63768">
        <w:rPr>
          <w:rFonts w:cs="Tahoma"/>
          <w:bCs/>
          <w:lang w:val="mk-MK"/>
        </w:rPr>
        <w:t xml:space="preserve"> </w:t>
      </w:r>
      <w:r w:rsidR="00DD05E8" w:rsidRPr="00B63768">
        <w:rPr>
          <w:rFonts w:cs="Tahoma"/>
          <w:bCs/>
          <w:lang w:val="mk-MK"/>
        </w:rPr>
        <w:t>поединечни банки се воочува потреба за докапитализација, при евентуално остварување на симулираните шокови.</w:t>
      </w:r>
      <w:r w:rsidR="00384406" w:rsidRPr="00B63768">
        <w:rPr>
          <w:rFonts w:cs="Tahoma"/>
          <w:bCs/>
          <w:lang w:val="mk-MK"/>
        </w:rPr>
        <w:t xml:space="preserve"> </w:t>
      </w:r>
      <w:r w:rsidR="00D604AC" w:rsidRPr="00B63768">
        <w:rPr>
          <w:rFonts w:cs="Tahoma"/>
          <w:bCs/>
          <w:lang w:val="mk-MK"/>
        </w:rPr>
        <w:t>Вообичаено, шоковите на страната на кредитниот ризик имаат најголемо влијание врз стабилноста на банкарскиот систем.</w:t>
      </w:r>
    </w:p>
    <w:p w:rsidR="00384406" w:rsidRPr="00B63768" w:rsidRDefault="00384406" w:rsidP="00384406">
      <w:pPr>
        <w:ind w:firstLine="709"/>
        <w:rPr>
          <w:rFonts w:cs="Tahoma"/>
          <w:bCs/>
          <w:lang w:val="mk-MK"/>
        </w:rPr>
      </w:pPr>
    </w:p>
    <w:p w:rsidR="009A39EF" w:rsidRPr="00B63768" w:rsidRDefault="00040D2C" w:rsidP="00A57417">
      <w:pPr>
        <w:rPr>
          <w:rFonts w:cs="Tahoma"/>
          <w:bCs/>
          <w:lang w:val="mk-MK"/>
        </w:rPr>
      </w:pPr>
      <w:r w:rsidRPr="00040D2C">
        <w:rPr>
          <w:rFonts w:cs="Tahoma"/>
          <w:b/>
          <w:bCs/>
          <w:lang w:val="mk-MK"/>
        </w:rPr>
        <w:lastRenderedPageBreak/>
        <w:pict>
          <v:shape id="_x0000_s1073" type="#_x0000_t202" style="position:absolute;left:0;text-align:left;margin-left:-223.85pt;margin-top:-2.75pt;width:468.65pt;height:506.9pt;z-index:251711488" fillcolor="white [3201]" strokecolor="black [3200]" strokeweight=".25pt">
            <v:shadow color="#868686"/>
            <v:textbox style="mso-next-textbox:#_x0000_s1073" inset="1mm,1mm,1mm,1mm">
              <w:txbxContent>
                <w:p w:rsidR="006F63B5" w:rsidRDefault="006F63B5" w:rsidP="009F40A4">
                  <w:pPr>
                    <w:pStyle w:val="Caption"/>
                    <w:rPr>
                      <w:lang w:val="mk-MK"/>
                    </w:rPr>
                  </w:pPr>
                  <w:bookmarkStart w:id="138" w:name="_Toc296511359"/>
                  <w:bookmarkStart w:id="139" w:name="_Toc297190535"/>
                  <w:bookmarkStart w:id="140" w:name="_Toc329265730"/>
                  <w:bookmarkStart w:id="141" w:name="_Toc335225570"/>
                  <w:bookmarkStart w:id="142" w:name="_Toc342911785"/>
                  <w:bookmarkStart w:id="143" w:name="_Toc360003074"/>
                  <w:r>
                    <w:t xml:space="preserve">Табела бр.  </w:t>
                  </w:r>
                  <w:fldSimple w:instr=" SEQ Табела_бр._ \* ARABIC ">
                    <w:r>
                      <w:rPr>
                        <w:noProof/>
                      </w:rPr>
                      <w:t>8</w:t>
                    </w:r>
                  </w:fldSimple>
                  <w:r>
                    <w:t xml:space="preserve"> </w:t>
                  </w:r>
                  <w:r w:rsidRPr="002E6844">
                    <w:rPr>
                      <w:szCs w:val="20"/>
                      <w:lang w:val="mk-MK"/>
                    </w:rPr>
                    <w:t>Резултати од стрес-тест симулациите за отпорноста на банкарскиот систем и одделните банки на хипотет</w:t>
                  </w:r>
                  <w:r>
                    <w:rPr>
                      <w:szCs w:val="20"/>
                      <w:lang w:val="mk-MK"/>
                    </w:rPr>
                    <w:t>ички шокови</w:t>
                  </w:r>
                  <w:bookmarkEnd w:id="138"/>
                  <w:bookmarkEnd w:id="139"/>
                  <w:bookmarkEnd w:id="140"/>
                  <w:r>
                    <w:rPr>
                      <w:szCs w:val="20"/>
                    </w:rPr>
                    <w:t xml:space="preserve">, </w:t>
                  </w:r>
                  <w:r>
                    <w:rPr>
                      <w:szCs w:val="20"/>
                      <w:lang w:val="mk-MK"/>
                    </w:rPr>
                    <w:t>со состојба на 31.3.2013 година</w:t>
                  </w:r>
                  <w:bookmarkEnd w:id="141"/>
                  <w:bookmarkEnd w:id="142"/>
                  <w:r w:rsidRPr="0077701C" w:rsidDel="0077701C">
                    <w:t xml:space="preserve"> </w:t>
                  </w:r>
                </w:p>
                <w:p w:rsidR="006F63B5" w:rsidRPr="001C05C3" w:rsidRDefault="006F63B5" w:rsidP="009F40A4">
                  <w:pPr>
                    <w:pStyle w:val="Caption"/>
                    <w:rPr>
                      <w:noProof/>
                    </w:rPr>
                  </w:pPr>
                  <w:r w:rsidRPr="0006163C">
                    <w:rPr>
                      <w:noProof/>
                    </w:rPr>
                    <w:drawing>
                      <wp:inline distT="0" distB="0" distL="0" distR="0">
                        <wp:extent cx="5762625" cy="5873773"/>
                        <wp:effectExtent l="19050" t="0" r="9525"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5762113" cy="5873251"/>
                                </a:xfrm>
                                <a:prstGeom prst="rect">
                                  <a:avLst/>
                                </a:prstGeom>
                                <a:noFill/>
                                <a:ln w="9525">
                                  <a:noFill/>
                                  <a:miter lim="800000"/>
                                  <a:headEnd/>
                                  <a:tailEnd/>
                                </a:ln>
                              </pic:spPr>
                            </pic:pic>
                          </a:graphicData>
                        </a:graphic>
                      </wp:inline>
                    </w:drawing>
                  </w:r>
                  <w:r w:rsidRPr="0006163C" w:rsidDel="0006163C">
                    <w:t xml:space="preserve"> </w:t>
                  </w:r>
                  <w:bookmarkEnd w:id="143"/>
                </w:p>
                <w:p w:rsidR="006F63B5" w:rsidRPr="006B7722" w:rsidRDefault="006F63B5" w:rsidP="00116403">
                  <w:pPr>
                    <w:rPr>
                      <w:rFonts w:cs="Tahoma"/>
                      <w:sz w:val="18"/>
                      <w:szCs w:val="18"/>
                      <w:lang w:val="mk-MK"/>
                    </w:rPr>
                  </w:pPr>
                  <w:r w:rsidRPr="006B7722">
                    <w:rPr>
                      <w:rFonts w:cs="Tahoma"/>
                      <w:sz w:val="18"/>
                      <w:szCs w:val="18"/>
                      <w:lang w:val="mk-MK"/>
                    </w:rPr>
                    <w:t>Извор: Н</w:t>
                  </w:r>
                  <w:r w:rsidRPr="006B7722">
                    <w:rPr>
                      <w:rFonts w:cs="Tahoma"/>
                      <w:sz w:val="18"/>
                      <w:szCs w:val="18"/>
                    </w:rPr>
                    <w:t>a</w:t>
                  </w:r>
                  <w:r w:rsidRPr="006B7722">
                    <w:rPr>
                      <w:rFonts w:cs="Tahoma"/>
                      <w:sz w:val="18"/>
                      <w:szCs w:val="18"/>
                      <w:lang w:val="mk-MK"/>
                    </w:rPr>
                    <w:t>родната банка, врз основа на податоците доставени од страна на банките.</w:t>
                  </w:r>
                </w:p>
                <w:p w:rsidR="006F63B5" w:rsidRPr="001C1AAA" w:rsidRDefault="006F63B5" w:rsidP="00116403">
                  <w:pPr>
                    <w:rPr>
                      <w:sz w:val="18"/>
                      <w:szCs w:val="18"/>
                    </w:rPr>
                  </w:pPr>
                </w:p>
              </w:txbxContent>
            </v:textbox>
            <w10:wrap type="square"/>
          </v:shape>
        </w:pict>
      </w:r>
      <w:bookmarkStart w:id="144" w:name="_Toc342911647"/>
      <w:bookmarkEnd w:id="144"/>
    </w:p>
    <w:p w:rsidR="001870F7" w:rsidRPr="00B63768" w:rsidRDefault="00620347" w:rsidP="003B2315">
      <w:pPr>
        <w:pStyle w:val="Heading2"/>
      </w:pPr>
      <w:bookmarkStart w:id="145" w:name="_Toc362007068"/>
      <w:r w:rsidRPr="00B63768">
        <w:t>Профитабилност</w:t>
      </w:r>
      <w:bookmarkEnd w:id="145"/>
    </w:p>
    <w:p w:rsidR="0070490D" w:rsidRPr="00B63768" w:rsidRDefault="0070490D" w:rsidP="00D33AAC">
      <w:pPr>
        <w:pStyle w:val="ListParagraph"/>
        <w:keepNext/>
        <w:keepLines/>
        <w:numPr>
          <w:ilvl w:val="0"/>
          <w:numId w:val="2"/>
        </w:numPr>
        <w:contextualSpacing w:val="0"/>
        <w:outlineLvl w:val="2"/>
        <w:rPr>
          <w:rFonts w:ascii="Tahoma" w:eastAsia="Calibri" w:hAnsi="Tahoma"/>
          <w:b/>
          <w:bCs/>
          <w:vanish/>
          <w:sz w:val="22"/>
          <w:szCs w:val="22"/>
        </w:rPr>
      </w:pPr>
      <w:bookmarkStart w:id="146" w:name="_Toc297648530"/>
      <w:bookmarkStart w:id="147" w:name="_Toc297714068"/>
      <w:bookmarkStart w:id="148" w:name="_Toc297821236"/>
      <w:bookmarkStart w:id="149" w:name="_Toc297903452"/>
      <w:bookmarkStart w:id="150" w:name="_Toc297904019"/>
      <w:bookmarkStart w:id="151" w:name="_Toc298138470"/>
      <w:bookmarkStart w:id="152" w:name="_Toc298169473"/>
      <w:bookmarkStart w:id="153" w:name="_Toc298252611"/>
      <w:bookmarkStart w:id="154" w:name="_Toc298418756"/>
      <w:bookmarkStart w:id="155" w:name="_Toc298422628"/>
      <w:bookmarkStart w:id="156" w:name="_Toc298428001"/>
      <w:bookmarkStart w:id="157" w:name="_Toc299102838"/>
      <w:bookmarkStart w:id="158" w:name="_Toc300561646"/>
      <w:bookmarkStart w:id="159" w:name="_Toc305482926"/>
      <w:bookmarkStart w:id="160" w:name="_Toc311554735"/>
      <w:bookmarkStart w:id="161" w:name="_Toc311556866"/>
      <w:bookmarkStart w:id="162" w:name="_Toc311556908"/>
      <w:bookmarkStart w:id="163" w:name="_Toc311557328"/>
      <w:bookmarkStart w:id="164" w:name="_Toc311627504"/>
      <w:bookmarkStart w:id="165" w:name="_Toc329933456"/>
      <w:bookmarkStart w:id="166" w:name="_Toc329933846"/>
      <w:bookmarkStart w:id="167" w:name="_Toc335827333"/>
      <w:bookmarkStart w:id="168" w:name="_Toc335983763"/>
      <w:bookmarkStart w:id="169" w:name="_Toc335983975"/>
      <w:bookmarkStart w:id="170" w:name="_Toc335999462"/>
      <w:bookmarkStart w:id="171" w:name="_Toc335999507"/>
      <w:bookmarkStart w:id="172" w:name="_Toc336005346"/>
      <w:bookmarkStart w:id="173" w:name="_Toc336513897"/>
      <w:bookmarkStart w:id="174" w:name="_Toc337029281"/>
      <w:bookmarkStart w:id="175" w:name="_Toc342461829"/>
      <w:bookmarkStart w:id="176" w:name="_Toc361664646"/>
      <w:bookmarkStart w:id="177" w:name="_Toc361667566"/>
      <w:bookmarkStart w:id="178" w:name="_Toc361667610"/>
      <w:bookmarkStart w:id="179" w:name="_Toc361667700"/>
      <w:bookmarkStart w:id="180" w:name="_Toc361668777"/>
      <w:bookmarkStart w:id="181" w:name="_Toc361668806"/>
      <w:bookmarkStart w:id="182" w:name="_Toc361755442"/>
      <w:bookmarkStart w:id="183" w:name="_Toc361755520"/>
      <w:bookmarkStart w:id="184" w:name="_Toc361755562"/>
      <w:bookmarkStart w:id="185" w:name="_Toc361989708"/>
      <w:bookmarkStart w:id="186" w:name="_Toc362007069"/>
      <w:bookmarkStart w:id="187" w:name="_Toc29762130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bookmarkEnd w:id="187"/>
    <w:p w:rsidR="007220F4" w:rsidRPr="00B63768" w:rsidRDefault="007220F4" w:rsidP="00E11010">
      <w:pPr>
        <w:rPr>
          <w:lang w:val="mk-MK" w:eastAsia="mk-MK"/>
        </w:rPr>
      </w:pPr>
    </w:p>
    <w:p w:rsidR="00BD2F10" w:rsidRDefault="00BD2F10" w:rsidP="00BD2F10">
      <w:pPr>
        <w:autoSpaceDE w:val="0"/>
        <w:autoSpaceDN w:val="0"/>
        <w:adjustRightInd w:val="0"/>
        <w:ind w:left="-4536" w:firstLine="709"/>
        <w:rPr>
          <w:rFonts w:cs="Tahoma"/>
          <w:b/>
          <w:lang w:val="mk-MK"/>
        </w:rPr>
      </w:pPr>
      <w:r w:rsidRPr="00B63768">
        <w:rPr>
          <w:rFonts w:cs="Tahoma"/>
          <w:b/>
          <w:lang w:val="mk-MK"/>
        </w:rPr>
        <w:t xml:space="preserve">Во првите три месеци од 2013 година, македонскиот банкарски систем прикажа вкупен негативен финансиски резултат од 42 </w:t>
      </w:r>
      <w:r w:rsidR="00E35961" w:rsidRPr="00B63768">
        <w:rPr>
          <w:rFonts w:cs="Tahoma"/>
          <w:b/>
          <w:lang w:val="mk-MK"/>
        </w:rPr>
        <w:t>милион</w:t>
      </w:r>
      <w:r w:rsidR="00E35961">
        <w:rPr>
          <w:rFonts w:cs="Tahoma"/>
          <w:b/>
          <w:lang w:val="mk-MK"/>
        </w:rPr>
        <w:t>а</w:t>
      </w:r>
      <w:r w:rsidR="00E35961" w:rsidRPr="00B63768">
        <w:rPr>
          <w:rFonts w:cs="Tahoma"/>
          <w:b/>
          <w:lang w:val="mk-MK"/>
        </w:rPr>
        <w:t xml:space="preserve"> </w:t>
      </w:r>
      <w:r w:rsidRPr="00B63768">
        <w:rPr>
          <w:rFonts w:cs="Tahoma"/>
          <w:b/>
          <w:lang w:val="mk-MK"/>
        </w:rPr>
        <w:t>денари</w:t>
      </w:r>
      <w:r w:rsidR="007D5A0D" w:rsidRPr="00B63768">
        <w:rPr>
          <w:rFonts w:cs="Tahoma"/>
          <w:b/>
          <w:lang w:val="mk-MK"/>
        </w:rPr>
        <w:t>. Но,</w:t>
      </w:r>
      <w:r w:rsidRPr="00B63768">
        <w:rPr>
          <w:rFonts w:cs="Tahoma"/>
          <w:b/>
          <w:lang w:val="mk-MK"/>
        </w:rPr>
        <w:t xml:space="preserve"> во споредба со истиот период минатата година</w:t>
      </w:r>
      <w:r w:rsidR="007D5A0D" w:rsidRPr="00B63768">
        <w:rPr>
          <w:rFonts w:cs="Tahoma"/>
          <w:b/>
          <w:lang w:val="mk-MK"/>
        </w:rPr>
        <w:t xml:space="preserve">, загубата е помала </w:t>
      </w:r>
      <w:r w:rsidRPr="00B63768">
        <w:rPr>
          <w:rFonts w:cs="Tahoma"/>
          <w:b/>
          <w:lang w:val="mk-MK"/>
        </w:rPr>
        <w:t>за 187,</w:t>
      </w:r>
      <w:r w:rsidR="00AC731B" w:rsidRPr="00B63768">
        <w:rPr>
          <w:rFonts w:cs="Tahoma"/>
          <w:b/>
          <w:lang w:val="mk-MK"/>
        </w:rPr>
        <w:t xml:space="preserve">9 </w:t>
      </w:r>
      <w:r w:rsidRPr="00B63768">
        <w:rPr>
          <w:rFonts w:cs="Tahoma"/>
          <w:b/>
          <w:lang w:val="mk-MK"/>
        </w:rPr>
        <w:t>милиони денари. Бројот на банки коишто остварија негативен финансиски резултат се намали од девет на седум</w:t>
      </w:r>
      <w:r w:rsidRPr="00B63768">
        <w:rPr>
          <w:rStyle w:val="FootnoteReference"/>
          <w:rFonts w:cs="Tahoma"/>
          <w:b/>
          <w:lang w:val="mk-MK"/>
        </w:rPr>
        <w:footnoteReference w:id="50"/>
      </w:r>
      <w:r w:rsidRPr="00B63768">
        <w:rPr>
          <w:rFonts w:cs="Tahoma"/>
          <w:b/>
          <w:lang w:val="mk-MK"/>
        </w:rPr>
        <w:t xml:space="preserve"> при што нивното учество во вкупната </w:t>
      </w:r>
      <w:r w:rsidRPr="00B63768">
        <w:rPr>
          <w:rFonts w:cs="Tahoma"/>
          <w:b/>
          <w:lang w:val="mk-MK"/>
        </w:rPr>
        <w:lastRenderedPageBreak/>
        <w:t>актива од 34,3% на 31.3.201</w:t>
      </w:r>
      <w:r w:rsidR="00D22DB7" w:rsidRPr="00B63768">
        <w:rPr>
          <w:rFonts w:cs="Tahoma"/>
          <w:b/>
          <w:lang w:val="mk-MK"/>
        </w:rPr>
        <w:t>2</w:t>
      </w:r>
      <w:r w:rsidRPr="00B63768">
        <w:rPr>
          <w:rFonts w:cs="Tahoma"/>
          <w:b/>
          <w:lang w:val="mk-MK"/>
        </w:rPr>
        <w:t xml:space="preserve"> година се намали на 31,7% на 31.3.2013 година. Основни фактори за намалената загуба се порастот на вкупните редовни приходи и забавениот раст на нето-исправката на вредноста и на оперативните трошоци. И покрај позитивните трендови, исправката на вредноста и оперативните трошоци ги надминуваат вкупните приходи и </w:t>
      </w:r>
      <w:r w:rsidR="00E35961">
        <w:rPr>
          <w:rFonts w:cs="Tahoma"/>
          <w:b/>
          <w:lang w:val="mk-MK"/>
        </w:rPr>
        <w:t xml:space="preserve">поради нив </w:t>
      </w:r>
      <w:r w:rsidRPr="00B63768">
        <w:rPr>
          <w:rFonts w:cs="Tahoma"/>
          <w:b/>
          <w:lang w:val="mk-MK"/>
        </w:rPr>
        <w:t>банките прикаж</w:t>
      </w:r>
      <w:r w:rsidR="00E35961">
        <w:rPr>
          <w:rFonts w:cs="Tahoma"/>
          <w:b/>
          <w:lang w:val="mk-MK"/>
        </w:rPr>
        <w:t>уваат</w:t>
      </w:r>
      <w:r w:rsidRPr="00B63768">
        <w:rPr>
          <w:rFonts w:cs="Tahoma"/>
          <w:b/>
          <w:lang w:val="mk-MK"/>
        </w:rPr>
        <w:t xml:space="preserve"> мала загуба. Веќе во април 2013 година, банкарскиот систем во Република Македонија прикажа вкупен позитивен финансиски резултат, којшто заклучно со јуни 2013 година, достигна износ од  351,4 милиони денари. </w:t>
      </w:r>
    </w:p>
    <w:p w:rsidR="000A525F" w:rsidRPr="00B63768" w:rsidRDefault="000A525F" w:rsidP="00BD2F10">
      <w:pPr>
        <w:autoSpaceDE w:val="0"/>
        <w:autoSpaceDN w:val="0"/>
        <w:adjustRightInd w:val="0"/>
        <w:ind w:left="-4536" w:firstLine="709"/>
        <w:rPr>
          <w:rFonts w:cs="Tahoma"/>
          <w:b/>
          <w:lang w:val="mk-MK"/>
        </w:rPr>
      </w:pPr>
    </w:p>
    <w:p w:rsidR="00BD2F10" w:rsidRPr="00B63768" w:rsidRDefault="00040D2C" w:rsidP="003B2315">
      <w:pPr>
        <w:pStyle w:val="Heading3"/>
      </w:pPr>
      <w:bookmarkStart w:id="188" w:name="_Toc296501681"/>
      <w:bookmarkStart w:id="189" w:name="_Toc296501769"/>
      <w:bookmarkStart w:id="190" w:name="_Toc296502429"/>
      <w:bookmarkStart w:id="191" w:name="_Toc296503402"/>
      <w:bookmarkStart w:id="192" w:name="_Toc296503448"/>
      <w:bookmarkStart w:id="193" w:name="_Toc296505755"/>
      <w:bookmarkStart w:id="194" w:name="_Toc303173386"/>
      <w:bookmarkStart w:id="195" w:name="_Toc303173387"/>
      <w:bookmarkStart w:id="196" w:name="_Toc309974307"/>
      <w:bookmarkStart w:id="197" w:name="_Toc354057746"/>
      <w:bookmarkStart w:id="198" w:name="_Toc362007070"/>
      <w:bookmarkEnd w:id="188"/>
      <w:bookmarkEnd w:id="189"/>
      <w:bookmarkEnd w:id="190"/>
      <w:bookmarkEnd w:id="191"/>
      <w:bookmarkEnd w:id="192"/>
      <w:bookmarkEnd w:id="193"/>
      <w:bookmarkEnd w:id="194"/>
      <w:r w:rsidRPr="00040D2C">
        <w:rPr>
          <w:b w:val="0"/>
          <w:highlight w:val="yellow"/>
          <w:lang w:eastAsia="mk-MK"/>
        </w:rPr>
        <w:pict>
          <v:shape id="_x0000_s1131" type="#_x0000_t202" style="position:absolute;left:0;text-align:left;margin-left:-228.25pt;margin-top:7.4pt;width:214.7pt;height:204.65pt;z-index:251755520">
            <v:textbox style="mso-next-textbox:#_x0000_s1131">
              <w:txbxContent>
                <w:p w:rsidR="006F63B5" w:rsidRPr="004721E1" w:rsidRDefault="006F63B5" w:rsidP="00BD2F10">
                  <w:pPr>
                    <w:pStyle w:val="Caption"/>
                    <w:rPr>
                      <w:lang w:val="mk-MK"/>
                    </w:rPr>
                  </w:pPr>
                  <w:bookmarkStart w:id="199" w:name="_Ref297648322"/>
                  <w:bookmarkStart w:id="200" w:name="_Toc297621256"/>
                  <w:bookmarkStart w:id="201" w:name="_Ref297648317"/>
                  <w:bookmarkStart w:id="202" w:name="_Toc299449115"/>
                  <w:bookmarkStart w:id="203" w:name="_Toc305070592"/>
                  <w:bookmarkStart w:id="204" w:name="_Toc309995883"/>
                  <w:bookmarkStart w:id="205" w:name="_Toc355095873"/>
                  <w:r w:rsidRPr="00C453D0">
                    <w:rPr>
                      <w:rFonts w:cs="Tahoma"/>
                      <w:szCs w:val="20"/>
                    </w:rPr>
                    <w:t xml:space="preserve">Графикон бр. </w:t>
                  </w:r>
                  <w:r w:rsidR="00040D2C" w:rsidRPr="00C453D0">
                    <w:rPr>
                      <w:rFonts w:cs="Tahoma"/>
                      <w:szCs w:val="20"/>
                    </w:rPr>
                    <w:fldChar w:fldCharType="begin"/>
                  </w:r>
                  <w:r w:rsidRPr="00C453D0">
                    <w:rPr>
                      <w:rFonts w:cs="Tahoma"/>
                      <w:szCs w:val="20"/>
                    </w:rPr>
                    <w:instrText xml:space="preserve"> SEQ Графикон_бр. \* ARABIC </w:instrText>
                  </w:r>
                  <w:r w:rsidR="00040D2C" w:rsidRPr="00C453D0">
                    <w:rPr>
                      <w:rFonts w:cs="Tahoma"/>
                      <w:szCs w:val="20"/>
                    </w:rPr>
                    <w:fldChar w:fldCharType="separate"/>
                  </w:r>
                  <w:r>
                    <w:rPr>
                      <w:rFonts w:cs="Tahoma"/>
                      <w:noProof/>
                      <w:szCs w:val="20"/>
                    </w:rPr>
                    <w:t>62</w:t>
                  </w:r>
                  <w:r w:rsidR="00040D2C" w:rsidRPr="00C453D0">
                    <w:rPr>
                      <w:rFonts w:cs="Tahoma"/>
                      <w:szCs w:val="20"/>
                    </w:rPr>
                    <w:fldChar w:fldCharType="end"/>
                  </w:r>
                  <w:bookmarkEnd w:id="199"/>
                  <w:r w:rsidRPr="00C453D0">
                    <w:rPr>
                      <w:rFonts w:cs="Tahoma"/>
                      <w:szCs w:val="20"/>
                      <w:lang w:val="mk-MK"/>
                    </w:rPr>
                    <w:t xml:space="preserve"> Апсолут</w:t>
                  </w:r>
                  <w:r>
                    <w:rPr>
                      <w:rFonts w:cs="Tahoma"/>
                      <w:szCs w:val="20"/>
                      <w:lang w:val="mk-MK"/>
                    </w:rPr>
                    <w:t xml:space="preserve">на промена </w:t>
                  </w:r>
                  <w:r w:rsidRPr="00C453D0">
                    <w:rPr>
                      <w:rFonts w:cs="Tahoma"/>
                      <w:szCs w:val="20"/>
                      <w:lang w:val="mk-MK"/>
                    </w:rPr>
                    <w:t>на главните приходи и расходи</w:t>
                  </w:r>
                  <w:bookmarkEnd w:id="200"/>
                  <w:bookmarkEnd w:id="201"/>
                  <w:bookmarkEnd w:id="202"/>
                  <w:bookmarkEnd w:id="203"/>
                  <w:bookmarkEnd w:id="204"/>
                  <w:r w:rsidRPr="00C453D0">
                    <w:rPr>
                      <w:rFonts w:cs="Tahoma"/>
                      <w:szCs w:val="20"/>
                      <w:lang w:val="mk-MK"/>
                    </w:rPr>
                    <w:t>, во однос на истиот период претходната година</w:t>
                  </w:r>
                  <w:bookmarkEnd w:id="205"/>
                </w:p>
                <w:p w:rsidR="006F63B5" w:rsidRPr="0004280F" w:rsidRDefault="006F63B5" w:rsidP="00BD2F10">
                  <w:pPr>
                    <w:rPr>
                      <w:lang w:val="mk-MK"/>
                    </w:rPr>
                  </w:pPr>
                  <w:r w:rsidRPr="00AE77F7">
                    <w:rPr>
                      <w:noProof/>
                    </w:rPr>
                    <w:drawing>
                      <wp:inline distT="0" distB="0" distL="0" distR="0">
                        <wp:extent cx="2515707" cy="1542553"/>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2516670" cy="1543143"/>
                                </a:xfrm>
                                <a:prstGeom prst="rect">
                                  <a:avLst/>
                                </a:prstGeom>
                                <a:noFill/>
                                <a:ln w="9525">
                                  <a:noFill/>
                                  <a:miter lim="800000"/>
                                  <a:headEnd/>
                                  <a:tailEnd/>
                                </a:ln>
                              </pic:spPr>
                            </pic:pic>
                          </a:graphicData>
                        </a:graphic>
                      </wp:inline>
                    </w:drawing>
                  </w:r>
                </w:p>
                <w:p w:rsidR="006F63B5" w:rsidRPr="00303B89" w:rsidRDefault="006F63B5" w:rsidP="00BD2F10">
                  <w:pPr>
                    <w:pStyle w:val="Caption"/>
                    <w:rPr>
                      <w:rFonts w:cs="Tahoma"/>
                      <w:b w:val="0"/>
                      <w:szCs w:val="20"/>
                      <w:lang w:val="mk-MK"/>
                    </w:rPr>
                  </w:pPr>
                  <w:r w:rsidRPr="00387962">
                    <w:rPr>
                      <w:b w:val="0"/>
                      <w:sz w:val="18"/>
                      <w:szCs w:val="18"/>
                      <w:lang w:val="mk-MK"/>
                    </w:rPr>
                    <w:t>Извор:</w:t>
                  </w:r>
                  <w:r w:rsidRPr="00387962">
                    <w:rPr>
                      <w:rFonts w:cs="Tahoma"/>
                      <w:b w:val="0"/>
                      <w:sz w:val="18"/>
                      <w:szCs w:val="18"/>
                      <w:lang w:val="mk-MK"/>
                    </w:rPr>
                    <w:t xml:space="preserve"> Н</w:t>
                  </w:r>
                  <w:r>
                    <w:rPr>
                      <w:rFonts w:cs="Tahoma"/>
                      <w:b w:val="0"/>
                      <w:sz w:val="18"/>
                      <w:szCs w:val="18"/>
                      <w:lang w:val="mk-MK"/>
                    </w:rPr>
                    <w:t>ародната банка</w:t>
                  </w:r>
                  <w:r w:rsidRPr="00387962">
                    <w:rPr>
                      <w:rFonts w:cs="Tahoma"/>
                      <w:b w:val="0"/>
                      <w:sz w:val="18"/>
                      <w:szCs w:val="18"/>
                      <w:lang w:val="mk-MK"/>
                    </w:rPr>
                    <w:t>, врз основа на податоците доставени од страна на банките.</w:t>
                  </w:r>
                </w:p>
                <w:p w:rsidR="006F63B5" w:rsidRPr="003A3FDD" w:rsidRDefault="006F63B5" w:rsidP="00BD2F10">
                  <w:pPr>
                    <w:rPr>
                      <w:lang w:val="mk-MK"/>
                    </w:rPr>
                  </w:pPr>
                </w:p>
                <w:p w:rsidR="006F63B5" w:rsidRPr="003A3FDD" w:rsidRDefault="006F63B5" w:rsidP="00BD2F10">
                  <w:pPr>
                    <w:rPr>
                      <w:lang w:val="mk-MK"/>
                    </w:rPr>
                  </w:pPr>
                </w:p>
                <w:p w:rsidR="006F63B5" w:rsidRDefault="006F63B5" w:rsidP="00BD2F10">
                  <w:pPr>
                    <w:pStyle w:val="Caption"/>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Default="006F63B5" w:rsidP="00BD2F10">
                  <w:pPr>
                    <w:rPr>
                      <w:lang w:val="mk-MK"/>
                    </w:rPr>
                  </w:pPr>
                </w:p>
                <w:p w:rsidR="006F63B5" w:rsidRPr="008476D5" w:rsidRDefault="006F63B5" w:rsidP="00BD2F10">
                  <w:pPr>
                    <w:rPr>
                      <w:sz w:val="20"/>
                      <w:szCs w:val="20"/>
                      <w:lang w:val="mk-MK"/>
                    </w:rPr>
                  </w:pPr>
                  <w:r w:rsidRPr="008476D5">
                    <w:rPr>
                      <w:sz w:val="20"/>
                      <w:szCs w:val="20"/>
                      <w:lang w:val="mk-MK"/>
                    </w:rPr>
                    <w:t>Извор:</w:t>
                  </w:r>
                </w:p>
              </w:txbxContent>
            </v:textbox>
          </v:shape>
        </w:pict>
      </w:r>
      <w:r w:rsidR="00BD2F10" w:rsidRPr="00B63768">
        <w:t>Движење и структура на приходите и расходите на банкарскиот систем</w:t>
      </w:r>
      <w:bookmarkEnd w:id="195"/>
      <w:bookmarkEnd w:id="196"/>
      <w:bookmarkEnd w:id="197"/>
      <w:bookmarkEnd w:id="198"/>
      <w:r w:rsidR="00BD2F10" w:rsidRPr="00B63768">
        <w:t xml:space="preserve"> </w:t>
      </w:r>
    </w:p>
    <w:p w:rsidR="00BD2F10" w:rsidRPr="00B63768" w:rsidRDefault="00BD2F10" w:rsidP="00BD2F10">
      <w:pPr>
        <w:autoSpaceDE w:val="0"/>
        <w:autoSpaceDN w:val="0"/>
        <w:adjustRightInd w:val="0"/>
        <w:ind w:firstLine="709"/>
        <w:rPr>
          <w:bCs/>
          <w:lang w:val="mk-MK"/>
        </w:rPr>
      </w:pPr>
      <w:r w:rsidRPr="00B63768">
        <w:rPr>
          <w:rFonts w:cs="Tahoma"/>
          <w:lang w:val="mk-MK" w:eastAsia="mk-MK"/>
        </w:rPr>
        <w:t xml:space="preserve">  </w:t>
      </w:r>
    </w:p>
    <w:p w:rsidR="00BD2F10" w:rsidRPr="00B63768" w:rsidRDefault="00040D2C" w:rsidP="00BD2F10">
      <w:pPr>
        <w:autoSpaceDE w:val="0"/>
        <w:autoSpaceDN w:val="0"/>
        <w:adjustRightInd w:val="0"/>
        <w:ind w:firstLine="709"/>
        <w:rPr>
          <w:bCs/>
          <w:lang w:val="mk-MK"/>
        </w:rPr>
      </w:pPr>
      <w:r w:rsidRPr="00040D2C">
        <w:rPr>
          <w:bCs/>
          <w:highlight w:val="yellow"/>
          <w:lang w:val="mk-MK"/>
        </w:rPr>
        <w:pict>
          <v:shape id="_x0000_s1133" type="#_x0000_t202" style="position:absolute;left:0;text-align:left;margin-left:-224.25pt;margin-top:188.85pt;width:210.7pt;height:196.75pt;z-index:251757568">
            <v:textbox style="mso-next-textbox:#_x0000_s1133">
              <w:txbxContent>
                <w:p w:rsidR="006F63B5" w:rsidRPr="004721E1" w:rsidRDefault="006F63B5" w:rsidP="00BD2F10">
                  <w:pPr>
                    <w:pStyle w:val="Caption"/>
                    <w:rPr>
                      <w:lang w:val="mk-MK"/>
                    </w:rPr>
                  </w:pPr>
                  <w:bookmarkStart w:id="206" w:name="_Ref298140572"/>
                  <w:bookmarkStart w:id="207" w:name="_Toc299449116"/>
                  <w:bookmarkStart w:id="208" w:name="_Toc305070594"/>
                  <w:bookmarkStart w:id="209" w:name="_Toc309995884"/>
                  <w:bookmarkStart w:id="210" w:name="_Toc355095874"/>
                  <w:r>
                    <w:t xml:space="preserve">Графикон бр. </w:t>
                  </w:r>
                  <w:fldSimple w:instr=" SEQ Графикон_бр. \* ARABIC ">
                    <w:r>
                      <w:rPr>
                        <w:noProof/>
                      </w:rPr>
                      <w:t>63</w:t>
                    </w:r>
                  </w:fldSimple>
                  <w:r>
                    <w:t xml:space="preserve"> </w:t>
                  </w:r>
                  <w:bookmarkEnd w:id="206"/>
                  <w:r w:rsidRPr="00FD267C">
                    <w:rPr>
                      <w:szCs w:val="20"/>
                      <w:lang w:val="mk-MK"/>
                    </w:rPr>
                    <w:t>Структура на вкупните приходи</w:t>
                  </w:r>
                  <w:bookmarkEnd w:id="207"/>
                  <w:bookmarkEnd w:id="208"/>
                  <w:bookmarkEnd w:id="209"/>
                  <w:bookmarkEnd w:id="210"/>
                </w:p>
                <w:p w:rsidR="006F63B5" w:rsidRDefault="006F63B5" w:rsidP="00BD2F10">
                  <w:pPr>
                    <w:ind w:right="51"/>
                    <w:rPr>
                      <w:lang w:val="mk-MK"/>
                    </w:rPr>
                  </w:pPr>
                  <w:r w:rsidRPr="004F19A1">
                    <w:rPr>
                      <w:noProof/>
                    </w:rPr>
                    <w:drawing>
                      <wp:inline distT="0" distB="0" distL="0" distR="0">
                        <wp:extent cx="2389805" cy="1773141"/>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2393562" cy="1775928"/>
                                </a:xfrm>
                                <a:prstGeom prst="rect">
                                  <a:avLst/>
                                </a:prstGeom>
                                <a:noFill/>
                                <a:ln w="9525">
                                  <a:noFill/>
                                  <a:miter lim="800000"/>
                                  <a:headEnd/>
                                  <a:tailEnd/>
                                </a:ln>
                              </pic:spPr>
                            </pic:pic>
                          </a:graphicData>
                        </a:graphic>
                      </wp:inline>
                    </w:drawing>
                  </w:r>
                </w:p>
                <w:p w:rsidR="006F63B5" w:rsidRPr="00612513" w:rsidRDefault="006F63B5" w:rsidP="00BD2F10">
                  <w:pPr>
                    <w:pStyle w:val="Caption"/>
                    <w:rPr>
                      <w:b w:val="0"/>
                      <w:sz w:val="18"/>
                      <w:szCs w:val="18"/>
                      <w:lang w:val="mk-MK"/>
                    </w:rPr>
                  </w:pPr>
                  <w:r w:rsidRPr="00612513">
                    <w:rPr>
                      <w:b w:val="0"/>
                      <w:sz w:val="18"/>
                      <w:szCs w:val="18"/>
                      <w:lang w:val="mk-MK"/>
                    </w:rPr>
                    <w:t>Извор:</w:t>
                  </w:r>
                  <w:r w:rsidRPr="00612513">
                    <w:rPr>
                      <w:rFonts w:cs="Tahoma"/>
                      <w:sz w:val="18"/>
                      <w:szCs w:val="18"/>
                      <w:lang w:val="mk-MK"/>
                    </w:rPr>
                    <w:t xml:space="preserve"> </w:t>
                  </w:r>
                  <w:r w:rsidRPr="00612513">
                    <w:rPr>
                      <w:rFonts w:cs="Tahoma"/>
                      <w:b w:val="0"/>
                      <w:sz w:val="18"/>
                      <w:szCs w:val="18"/>
                      <w:lang w:val="mk-MK"/>
                    </w:rPr>
                    <w:t>Н</w:t>
                  </w:r>
                  <w:r>
                    <w:rPr>
                      <w:rFonts w:cs="Tahoma"/>
                      <w:b w:val="0"/>
                      <w:sz w:val="18"/>
                      <w:szCs w:val="18"/>
                      <w:lang w:val="mk-MK"/>
                    </w:rPr>
                    <w:t>ародната банка</w:t>
                  </w:r>
                  <w:r w:rsidRPr="00612513">
                    <w:rPr>
                      <w:rFonts w:cs="Tahoma"/>
                      <w:b w:val="0"/>
                      <w:sz w:val="18"/>
                      <w:szCs w:val="18"/>
                      <w:lang w:val="mk-MK"/>
                    </w:rPr>
                    <w:t>, врз основа на податоците доставени од страна на банките.</w:t>
                  </w:r>
                </w:p>
                <w:p w:rsidR="006F63B5" w:rsidRPr="00E46C4C" w:rsidRDefault="006F63B5" w:rsidP="00BD2F10">
                  <w:pPr>
                    <w:rPr>
                      <w:lang w:val="mk-MK"/>
                    </w:rPr>
                  </w:pPr>
                </w:p>
              </w:txbxContent>
            </v:textbox>
          </v:shape>
        </w:pict>
      </w:r>
      <w:r w:rsidR="00BD2F10" w:rsidRPr="00B63768">
        <w:rPr>
          <w:bCs/>
          <w:lang w:val="mk-MK"/>
        </w:rPr>
        <w:t xml:space="preserve">Во првиот квартал на 2013 година, </w:t>
      </w:r>
      <w:r w:rsidR="00BD2F10" w:rsidRPr="00B63768">
        <w:rPr>
          <w:b/>
          <w:bCs/>
          <w:lang w:val="mk-MK"/>
        </w:rPr>
        <w:t>вкупните приходи на банките</w:t>
      </w:r>
      <w:r w:rsidR="00BD2F10" w:rsidRPr="00B63768">
        <w:rPr>
          <w:bCs/>
          <w:lang w:val="mk-MK"/>
        </w:rPr>
        <w:t xml:space="preserve"> (вкупни редовни приходи</w:t>
      </w:r>
      <w:r w:rsidR="00BD2F10" w:rsidRPr="00B63768">
        <w:rPr>
          <w:rStyle w:val="FootnoteReference"/>
          <w:bCs/>
          <w:lang w:val="mk-MK"/>
        </w:rPr>
        <w:footnoteReference w:id="51"/>
      </w:r>
      <w:r w:rsidR="00BD2F10" w:rsidRPr="00B63768">
        <w:rPr>
          <w:bCs/>
          <w:sz w:val="14"/>
          <w:szCs w:val="14"/>
          <w:lang w:val="mk-MK"/>
        </w:rPr>
        <w:t xml:space="preserve"> </w:t>
      </w:r>
      <w:r w:rsidR="00BD2F10" w:rsidRPr="00B63768">
        <w:rPr>
          <w:bCs/>
          <w:lang w:val="mk-MK"/>
        </w:rPr>
        <w:t xml:space="preserve">и вонредни приходи) пораснаа за 294,5 милиони денари, односно за 7,3%. </w:t>
      </w:r>
      <w:r w:rsidR="00BD2F10" w:rsidRPr="00B63768">
        <w:rPr>
          <w:lang w:val="mk-MK"/>
        </w:rPr>
        <w:t>Порастот на вкупните приходи на банките се темели на зголемувањето на речиси сите приходни компоненти, со исклучок на намалувањето на вонредните приходи коишто имаат занемарливо учество во структурата на вкупните приходи (анекс бр. 3). Нето каматниот приход се зголеми за 152,9 милиони денари, односно за 5,7%, како резултат на намалување</w:t>
      </w:r>
      <w:r w:rsidR="00133306">
        <w:rPr>
          <w:lang w:val="mk-MK"/>
        </w:rPr>
        <w:t>то</w:t>
      </w:r>
      <w:r w:rsidR="00BD2F10" w:rsidRPr="00B63768">
        <w:rPr>
          <w:lang w:val="mk-MK"/>
        </w:rPr>
        <w:t xml:space="preserve"> на расходите од камати </w:t>
      </w:r>
      <w:r w:rsidR="00133306">
        <w:rPr>
          <w:lang w:val="mk-MK"/>
        </w:rPr>
        <w:t xml:space="preserve">коешто е </w:t>
      </w:r>
      <w:r w:rsidR="00133306" w:rsidRPr="00B63768">
        <w:rPr>
          <w:lang w:val="mk-MK"/>
        </w:rPr>
        <w:t>по</w:t>
      </w:r>
      <w:r w:rsidR="00133306">
        <w:rPr>
          <w:lang w:val="mk-MK"/>
        </w:rPr>
        <w:t>сил</w:t>
      </w:r>
      <w:r w:rsidR="00133306" w:rsidRPr="00B63768">
        <w:rPr>
          <w:lang w:val="mk-MK"/>
        </w:rPr>
        <w:t>но</w:t>
      </w:r>
      <w:r w:rsidR="00133306">
        <w:rPr>
          <w:lang w:val="mk-MK"/>
        </w:rPr>
        <w:t xml:space="preserve"> </w:t>
      </w:r>
      <w:r w:rsidR="00BD2F10" w:rsidRPr="00B63768">
        <w:rPr>
          <w:lang w:val="mk-MK"/>
        </w:rPr>
        <w:t xml:space="preserve">од намалувањето на приходите од камати, на годишна основа. Растот на нето-приходите од провизии и надоместоци од 75,4 милиони денари (или 8,8%) придонесе со 25,6% за растот на вкупните приходи. Зголемувањето </w:t>
      </w:r>
      <w:r w:rsidR="00D22DB7" w:rsidRPr="00B63768">
        <w:rPr>
          <w:lang w:val="mk-MK"/>
        </w:rPr>
        <w:t>на останатите редовни приходи</w:t>
      </w:r>
      <w:r w:rsidR="00BD2F10" w:rsidRPr="00B63768">
        <w:rPr>
          <w:rStyle w:val="FootnoteReference"/>
          <w:lang w:val="mk-MK"/>
        </w:rPr>
        <w:footnoteReference w:id="52"/>
      </w:r>
      <w:r w:rsidR="00D22DB7" w:rsidRPr="00B63768">
        <w:rPr>
          <w:lang w:val="mk-MK"/>
        </w:rPr>
        <w:t xml:space="preserve"> (за </w:t>
      </w:r>
      <w:r w:rsidR="00BD2F10" w:rsidRPr="00B63768">
        <w:rPr>
          <w:lang w:val="mk-MK"/>
        </w:rPr>
        <w:t>66,2</w:t>
      </w:r>
      <w:r w:rsidR="00D22DB7" w:rsidRPr="00B63768">
        <w:rPr>
          <w:lang w:val="mk-MK"/>
        </w:rPr>
        <w:t xml:space="preserve"> </w:t>
      </w:r>
      <w:r w:rsidR="00133306" w:rsidRPr="00B63768">
        <w:rPr>
          <w:lang w:val="mk-MK"/>
        </w:rPr>
        <w:t>милион</w:t>
      </w:r>
      <w:r w:rsidR="00133306">
        <w:rPr>
          <w:lang w:val="mk-MK"/>
        </w:rPr>
        <w:t>а</w:t>
      </w:r>
      <w:r w:rsidR="00133306" w:rsidRPr="00B63768">
        <w:rPr>
          <w:lang w:val="mk-MK"/>
        </w:rPr>
        <w:t xml:space="preserve"> </w:t>
      </w:r>
      <w:r w:rsidR="00D22DB7" w:rsidRPr="00B63768">
        <w:rPr>
          <w:lang w:val="mk-MK"/>
        </w:rPr>
        <w:t xml:space="preserve">денари, или </w:t>
      </w:r>
      <w:r w:rsidR="00BD2F10" w:rsidRPr="00B63768">
        <w:rPr>
          <w:lang w:val="mk-MK"/>
        </w:rPr>
        <w:t>1</w:t>
      </w:r>
      <w:r w:rsidR="00D22DB7" w:rsidRPr="00B63768">
        <w:rPr>
          <w:lang w:val="mk-MK"/>
        </w:rPr>
        <w:t>4,</w:t>
      </w:r>
      <w:r w:rsidR="00BD2F10" w:rsidRPr="00B63768">
        <w:rPr>
          <w:lang w:val="mk-MK"/>
        </w:rPr>
        <w:t>0</w:t>
      </w:r>
      <w:r w:rsidR="00D22DB7" w:rsidRPr="00B63768">
        <w:rPr>
          <w:lang w:val="mk-MK"/>
        </w:rPr>
        <w:t>%) произлезе од зголемувањето на нето-приходите од курсни разлики</w:t>
      </w:r>
      <w:r w:rsidR="00BD2F10" w:rsidRPr="00B63768">
        <w:rPr>
          <w:lang w:val="mk-MK"/>
        </w:rPr>
        <w:t>, ослободувањето на посебната резерва за вонбилансна изложеност</w:t>
      </w:r>
      <w:r w:rsidR="00D22DB7" w:rsidRPr="00B63768">
        <w:rPr>
          <w:lang w:val="mk-MK"/>
        </w:rPr>
        <w:t xml:space="preserve"> и зголемените приходи </w:t>
      </w:r>
      <w:r w:rsidR="00BD2F10" w:rsidRPr="00B63768">
        <w:rPr>
          <w:lang w:val="mk-MK"/>
        </w:rPr>
        <w:t xml:space="preserve">по други основи. </w:t>
      </w:r>
    </w:p>
    <w:p w:rsidR="00BD2F10" w:rsidRPr="00B63768" w:rsidRDefault="00BD2F10" w:rsidP="00BD2F10">
      <w:pPr>
        <w:autoSpaceDE w:val="0"/>
        <w:autoSpaceDN w:val="0"/>
        <w:adjustRightInd w:val="0"/>
        <w:ind w:firstLine="709"/>
        <w:rPr>
          <w:bCs/>
          <w:lang w:val="mk-MK"/>
        </w:rPr>
      </w:pPr>
    </w:p>
    <w:p w:rsidR="00BD2F10" w:rsidRPr="00B63768" w:rsidRDefault="00BD2F10" w:rsidP="00BD2F10">
      <w:pPr>
        <w:autoSpaceDE w:val="0"/>
        <w:autoSpaceDN w:val="0"/>
        <w:adjustRightInd w:val="0"/>
        <w:ind w:firstLine="709"/>
        <w:rPr>
          <w:rFonts w:cs="Tahoma"/>
          <w:b/>
          <w:lang w:val="mk-MK" w:eastAsia="mk-MK"/>
        </w:rPr>
      </w:pPr>
      <w:r w:rsidRPr="00B63768">
        <w:rPr>
          <w:lang w:val="mk-MK"/>
        </w:rPr>
        <w:t xml:space="preserve">Во </w:t>
      </w:r>
      <w:r w:rsidRPr="00B63768">
        <w:rPr>
          <w:b/>
          <w:bCs/>
          <w:lang w:val="mk-MK"/>
        </w:rPr>
        <w:t xml:space="preserve">структурата на вкупните приходи </w:t>
      </w:r>
      <w:r w:rsidRPr="00B63768">
        <w:rPr>
          <w:lang w:val="mk-MK"/>
        </w:rPr>
        <w:t xml:space="preserve">во текот на првите три месеци на </w:t>
      </w:r>
      <w:r w:rsidRPr="00B63768">
        <w:rPr>
          <w:lang w:val="mk-MK"/>
        </w:rPr>
        <w:lastRenderedPageBreak/>
        <w:t xml:space="preserve">годината не се забележани </w:t>
      </w:r>
      <w:r w:rsidR="00133306" w:rsidRPr="00B63768">
        <w:rPr>
          <w:lang w:val="mk-MK"/>
        </w:rPr>
        <w:t>познач</w:t>
      </w:r>
      <w:r w:rsidR="00133306">
        <w:rPr>
          <w:lang w:val="mk-MK"/>
        </w:rPr>
        <w:t>ител</w:t>
      </w:r>
      <w:r w:rsidR="00133306" w:rsidRPr="00B63768">
        <w:rPr>
          <w:lang w:val="mk-MK"/>
        </w:rPr>
        <w:t xml:space="preserve">ни </w:t>
      </w:r>
      <w:r w:rsidRPr="00B63768">
        <w:rPr>
          <w:lang w:val="mk-MK"/>
        </w:rPr>
        <w:t xml:space="preserve">промени. Сѐ уште најголемо учество од 66% има нето каматниот приход, којшто за растот на вкупните приходи имаше </w:t>
      </w:r>
      <w:r w:rsidR="00133306" w:rsidRPr="00B63768">
        <w:rPr>
          <w:lang w:val="mk-MK"/>
        </w:rPr>
        <w:t>најзнач</w:t>
      </w:r>
      <w:r w:rsidR="00133306">
        <w:rPr>
          <w:lang w:val="mk-MK"/>
        </w:rPr>
        <w:t>ител</w:t>
      </w:r>
      <w:r w:rsidR="00133306" w:rsidRPr="00B63768">
        <w:rPr>
          <w:lang w:val="mk-MK"/>
        </w:rPr>
        <w:t xml:space="preserve">ен </w:t>
      </w:r>
      <w:r w:rsidRPr="00B63768">
        <w:rPr>
          <w:lang w:val="mk-MK"/>
        </w:rPr>
        <w:t xml:space="preserve">придонес од 51,9%.  </w:t>
      </w:r>
    </w:p>
    <w:p w:rsidR="00BD2F10" w:rsidRPr="00B63768" w:rsidRDefault="00BD2F10" w:rsidP="00BD2F10">
      <w:pPr>
        <w:autoSpaceDE w:val="0"/>
        <w:autoSpaceDN w:val="0"/>
        <w:adjustRightInd w:val="0"/>
        <w:ind w:firstLine="709"/>
        <w:rPr>
          <w:rFonts w:cs="Tahoma"/>
          <w:lang w:val="mk-MK" w:eastAsia="mk-MK"/>
        </w:rPr>
      </w:pPr>
    </w:p>
    <w:p w:rsidR="00BD2F10" w:rsidRPr="00B63768" w:rsidRDefault="00040D2C" w:rsidP="00BD2F10">
      <w:pPr>
        <w:autoSpaceDE w:val="0"/>
        <w:autoSpaceDN w:val="0"/>
        <w:adjustRightInd w:val="0"/>
        <w:ind w:firstLine="709"/>
        <w:rPr>
          <w:lang w:val="mk-MK"/>
        </w:rPr>
      </w:pPr>
      <w:r w:rsidRPr="00040D2C">
        <w:rPr>
          <w:bCs/>
          <w:lang w:val="mk-MK"/>
        </w:rPr>
        <w:pict>
          <v:shape id="_x0000_s1135" type="#_x0000_t202" style="position:absolute;left:0;text-align:left;margin-left:-224.25pt;margin-top:17.25pt;width:205.3pt;height:221.9pt;z-index:251759616">
            <v:textbox style="mso-next-textbox:#_x0000_s1135">
              <w:txbxContent>
                <w:p w:rsidR="006F63B5" w:rsidRDefault="006F63B5" w:rsidP="00BD2F10">
                  <w:pPr>
                    <w:pStyle w:val="Caption"/>
                    <w:rPr>
                      <w:lang w:val="mk-MK"/>
                    </w:rPr>
                  </w:pPr>
                  <w:r>
                    <w:t xml:space="preserve">Графикон бр. </w:t>
                  </w:r>
                  <w:fldSimple w:instr=" SEQ Графикон_бр. \* ARABIC ">
                    <w:r>
                      <w:rPr>
                        <w:noProof/>
                      </w:rPr>
                      <w:t>64</w:t>
                    </w:r>
                  </w:fldSimple>
                  <w:r>
                    <w:t xml:space="preserve"> </w:t>
                  </w:r>
                  <w:r w:rsidRPr="002E4DFA">
                    <w:rPr>
                      <w:szCs w:val="20"/>
                      <w:lang w:val="mk-MK"/>
                    </w:rPr>
                    <w:t>Секторска структура на приходите од камати</w:t>
                  </w:r>
                </w:p>
                <w:p w:rsidR="006F63B5" w:rsidRDefault="006F63B5" w:rsidP="00BD2F10">
                  <w:pPr>
                    <w:pStyle w:val="Caption"/>
                    <w:rPr>
                      <w:b w:val="0"/>
                      <w:sz w:val="18"/>
                      <w:szCs w:val="18"/>
                      <w:lang w:val="mk-MK"/>
                    </w:rPr>
                  </w:pPr>
                  <w:r w:rsidRPr="00E16F98">
                    <w:rPr>
                      <w:noProof/>
                      <w:szCs w:val="18"/>
                    </w:rPr>
                    <w:drawing>
                      <wp:inline distT="0" distB="0" distL="0" distR="0">
                        <wp:extent cx="2366341" cy="2122998"/>
                        <wp:effectExtent l="19050" t="0" r="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srcRect/>
                                <a:stretch>
                                  <a:fillRect/>
                                </a:stretch>
                              </pic:blipFill>
                              <pic:spPr bwMode="auto">
                                <a:xfrm>
                                  <a:off x="0" y="0"/>
                                  <a:ext cx="2375497" cy="2131212"/>
                                </a:xfrm>
                                <a:prstGeom prst="rect">
                                  <a:avLst/>
                                </a:prstGeom>
                                <a:noFill/>
                                <a:ln w="9525">
                                  <a:noFill/>
                                  <a:miter lim="800000"/>
                                  <a:headEnd/>
                                  <a:tailEnd/>
                                </a:ln>
                              </pic:spPr>
                            </pic:pic>
                          </a:graphicData>
                        </a:graphic>
                      </wp:inline>
                    </w:drawing>
                  </w:r>
                </w:p>
                <w:p w:rsidR="006F63B5" w:rsidRPr="00612513" w:rsidRDefault="006F63B5" w:rsidP="00BD2F10">
                  <w:pPr>
                    <w:pStyle w:val="Caption"/>
                    <w:rPr>
                      <w:b w:val="0"/>
                      <w:sz w:val="18"/>
                      <w:szCs w:val="18"/>
                      <w:lang w:val="mk-MK"/>
                    </w:rPr>
                  </w:pPr>
                  <w:r w:rsidRPr="00612513">
                    <w:rPr>
                      <w:b w:val="0"/>
                      <w:sz w:val="18"/>
                      <w:szCs w:val="18"/>
                      <w:lang w:val="mk-MK"/>
                    </w:rPr>
                    <w:t>Извор:</w:t>
                  </w:r>
                  <w:r w:rsidRPr="00612513">
                    <w:rPr>
                      <w:rFonts w:cs="Tahoma"/>
                      <w:sz w:val="18"/>
                      <w:szCs w:val="18"/>
                      <w:lang w:val="mk-MK"/>
                    </w:rPr>
                    <w:t xml:space="preserve"> </w:t>
                  </w:r>
                  <w:r w:rsidRPr="00612513">
                    <w:rPr>
                      <w:rFonts w:cs="Tahoma"/>
                      <w:b w:val="0"/>
                      <w:sz w:val="18"/>
                      <w:szCs w:val="18"/>
                      <w:lang w:val="mk-MK"/>
                    </w:rPr>
                    <w:t>Н</w:t>
                  </w:r>
                  <w:r>
                    <w:rPr>
                      <w:rFonts w:cs="Tahoma"/>
                      <w:b w:val="0"/>
                      <w:sz w:val="18"/>
                      <w:szCs w:val="18"/>
                      <w:lang w:val="mk-MK"/>
                    </w:rPr>
                    <w:t>ародната банка</w:t>
                  </w:r>
                  <w:r w:rsidRPr="00612513">
                    <w:rPr>
                      <w:rFonts w:cs="Tahoma"/>
                      <w:b w:val="0"/>
                      <w:sz w:val="18"/>
                      <w:szCs w:val="18"/>
                      <w:lang w:val="mk-MK"/>
                    </w:rPr>
                    <w:t>, врз основа на податоците доставени од страна на банките.</w:t>
                  </w:r>
                </w:p>
                <w:p w:rsidR="006F63B5" w:rsidRPr="00E46C4C" w:rsidRDefault="006F63B5" w:rsidP="00BD2F10">
                  <w:pPr>
                    <w:rPr>
                      <w:lang w:val="mk-MK"/>
                    </w:rPr>
                  </w:pPr>
                </w:p>
              </w:txbxContent>
            </v:textbox>
          </v:shape>
        </w:pict>
      </w:r>
      <w:r w:rsidR="00BD2F10" w:rsidRPr="00B63768">
        <w:rPr>
          <w:bCs/>
          <w:lang w:val="mk-MK"/>
        </w:rPr>
        <w:t xml:space="preserve">Во првиот квартал од годината, </w:t>
      </w:r>
      <w:r w:rsidR="00BD2F10" w:rsidRPr="00B63768">
        <w:rPr>
          <w:b/>
          <w:bCs/>
          <w:lang w:val="mk-MK"/>
        </w:rPr>
        <w:t xml:space="preserve">приходите од камати </w:t>
      </w:r>
      <w:r w:rsidR="00BD2F10" w:rsidRPr="00B63768">
        <w:rPr>
          <w:bCs/>
          <w:lang w:val="mk-MK"/>
        </w:rPr>
        <w:t>се намалија за 53,6 милиони денари</w:t>
      </w:r>
      <w:r w:rsidR="003F36DF">
        <w:rPr>
          <w:bCs/>
          <w:lang w:val="mk-MK"/>
        </w:rPr>
        <w:t>,</w:t>
      </w:r>
      <w:r w:rsidR="00BD2F10" w:rsidRPr="00B63768">
        <w:rPr>
          <w:bCs/>
          <w:lang w:val="mk-MK"/>
        </w:rPr>
        <w:t xml:space="preserve"> или за 1,1%, пред с</w:t>
      </w:r>
      <w:r w:rsidR="00BD2F10" w:rsidRPr="00B63768">
        <w:rPr>
          <w:rFonts w:cs="Tahoma"/>
          <w:bCs/>
          <w:lang w:val="mk-MK"/>
        </w:rPr>
        <w:t>ѐ</w:t>
      </w:r>
      <w:r w:rsidR="00BD2F10" w:rsidRPr="00B63768">
        <w:rPr>
          <w:bCs/>
          <w:lang w:val="mk-MK"/>
        </w:rPr>
        <w:t xml:space="preserve"> како резултат на </w:t>
      </w:r>
      <w:r w:rsidR="003F36DF" w:rsidRPr="00B63768">
        <w:rPr>
          <w:bCs/>
          <w:lang w:val="mk-MK"/>
        </w:rPr>
        <w:t>по</w:t>
      </w:r>
      <w:r w:rsidR="003F36DF">
        <w:rPr>
          <w:bCs/>
          <w:lang w:val="mk-MK"/>
        </w:rPr>
        <w:t>сил</w:t>
      </w:r>
      <w:r w:rsidR="003F36DF" w:rsidRPr="00B63768">
        <w:rPr>
          <w:bCs/>
          <w:lang w:val="mk-MK"/>
        </w:rPr>
        <w:t xml:space="preserve">ното </w:t>
      </w:r>
      <w:r w:rsidR="00BD2F10" w:rsidRPr="00B63768">
        <w:rPr>
          <w:bCs/>
          <w:lang w:val="mk-MK"/>
        </w:rPr>
        <w:t>намалување на приходите од камати на нефинансиски</w:t>
      </w:r>
      <w:r w:rsidR="003F36DF">
        <w:rPr>
          <w:bCs/>
          <w:lang w:val="mk-MK"/>
        </w:rPr>
        <w:t>те</w:t>
      </w:r>
      <w:r w:rsidR="00BD2F10" w:rsidRPr="00B63768">
        <w:rPr>
          <w:bCs/>
          <w:lang w:val="mk-MK"/>
        </w:rPr>
        <w:t xml:space="preserve"> и финансиски</w:t>
      </w:r>
      <w:r w:rsidR="003F36DF">
        <w:rPr>
          <w:bCs/>
          <w:lang w:val="mk-MK"/>
        </w:rPr>
        <w:t>те</w:t>
      </w:r>
      <w:r w:rsidR="00BD2F10" w:rsidRPr="00B63768">
        <w:rPr>
          <w:bCs/>
          <w:lang w:val="mk-MK"/>
        </w:rPr>
        <w:t xml:space="preserve"> друштва. </w:t>
      </w:r>
      <w:r w:rsidR="00BD2F10" w:rsidRPr="00B63768">
        <w:rPr>
          <w:lang w:val="mk-MK"/>
        </w:rPr>
        <w:t>Каматниот приход од</w:t>
      </w:r>
      <w:r w:rsidR="00BD2F10" w:rsidRPr="00B63768">
        <w:rPr>
          <w:b/>
          <w:lang w:val="mk-MK"/>
        </w:rPr>
        <w:t xml:space="preserve"> нефинансиските друштва </w:t>
      </w:r>
      <w:r w:rsidR="00BD2F10" w:rsidRPr="00B63768">
        <w:rPr>
          <w:lang w:val="mk-MK"/>
        </w:rPr>
        <w:t xml:space="preserve">се намали за 134,7 милиони денари, или за 5,9% што се должи на </w:t>
      </w:r>
      <w:r w:rsidR="00BD2F10" w:rsidRPr="00B63768">
        <w:rPr>
          <w:bCs/>
          <w:lang w:val="mk-MK"/>
        </w:rPr>
        <w:t>забавениот кредит</w:t>
      </w:r>
      <w:r w:rsidR="007D5A0D" w:rsidRPr="00B63768">
        <w:rPr>
          <w:bCs/>
          <w:lang w:val="mk-MK"/>
        </w:rPr>
        <w:t>е</w:t>
      </w:r>
      <w:r w:rsidR="00BD2F10" w:rsidRPr="00B63768">
        <w:rPr>
          <w:bCs/>
          <w:lang w:val="mk-MK"/>
        </w:rPr>
        <w:t xml:space="preserve">н раст на банките кон </w:t>
      </w:r>
      <w:r w:rsidR="00BD2F10" w:rsidRPr="00B63768">
        <w:rPr>
          <w:lang w:val="mk-MK"/>
        </w:rPr>
        <w:t xml:space="preserve">секторот „претпријатија“, </w:t>
      </w:r>
      <w:r w:rsidR="004506E7" w:rsidRPr="00B63768">
        <w:rPr>
          <w:lang w:val="mk-MK"/>
        </w:rPr>
        <w:t xml:space="preserve">паралелно со зголемувањето на нефункционалните кредити на кои не се признава каматен приход, </w:t>
      </w:r>
      <w:r w:rsidR="00BD2F10" w:rsidRPr="00B63768">
        <w:rPr>
          <w:lang w:val="mk-MK"/>
        </w:rPr>
        <w:t xml:space="preserve">како и поради </w:t>
      </w:r>
      <w:r w:rsidR="00BD2F10" w:rsidRPr="00B63768">
        <w:rPr>
          <w:rFonts w:cs="Tahoma"/>
          <w:lang w:val="mk-MK"/>
        </w:rPr>
        <w:t xml:space="preserve">надолниот тренд на </w:t>
      </w:r>
      <w:r w:rsidR="00BD2F10" w:rsidRPr="00B63768">
        <w:rPr>
          <w:lang w:val="mk-MK"/>
        </w:rPr>
        <w:t xml:space="preserve">активните каматни стапки. Приходите од камати од </w:t>
      </w:r>
      <w:r w:rsidR="00BD2F10" w:rsidRPr="00B63768">
        <w:rPr>
          <w:b/>
          <w:lang w:val="mk-MK"/>
        </w:rPr>
        <w:t xml:space="preserve">финансиските друштва </w:t>
      </w:r>
      <w:r w:rsidR="00BD2F10" w:rsidRPr="00B63768">
        <w:rPr>
          <w:lang w:val="mk-MK"/>
        </w:rPr>
        <w:t>бележат пад за 137,3 милиони денари (или за 26,6%), што пред сѐ се должи на намаленото вложување на банките во благајнички записи и намалената каматна стапка на овој инструмент</w:t>
      </w:r>
      <w:r w:rsidR="00BD2F10" w:rsidRPr="00B63768">
        <w:rPr>
          <w:rStyle w:val="FootnoteReference"/>
          <w:lang w:val="mk-MK"/>
        </w:rPr>
        <w:footnoteReference w:id="53"/>
      </w:r>
      <w:r w:rsidR="00BD2F10" w:rsidRPr="00B63768">
        <w:rPr>
          <w:lang w:val="mk-MK"/>
        </w:rPr>
        <w:t>.</w:t>
      </w:r>
    </w:p>
    <w:p w:rsidR="00BD2F10" w:rsidRPr="00B63768" w:rsidRDefault="00BD2F10" w:rsidP="00BD2F10">
      <w:pPr>
        <w:autoSpaceDE w:val="0"/>
        <w:autoSpaceDN w:val="0"/>
        <w:adjustRightInd w:val="0"/>
        <w:ind w:firstLine="709"/>
        <w:rPr>
          <w:lang w:val="mk-MK"/>
        </w:rPr>
      </w:pPr>
    </w:p>
    <w:p w:rsidR="00BD2F10" w:rsidRPr="00B63768" w:rsidRDefault="00BD2F10" w:rsidP="00BD2F10">
      <w:pPr>
        <w:autoSpaceDE w:val="0"/>
        <w:autoSpaceDN w:val="0"/>
        <w:adjustRightInd w:val="0"/>
        <w:ind w:firstLine="709"/>
        <w:rPr>
          <w:bCs/>
          <w:color w:val="FF0000"/>
          <w:highlight w:val="yellow"/>
          <w:lang w:val="mk-MK"/>
        </w:rPr>
      </w:pPr>
      <w:r w:rsidRPr="00B63768">
        <w:rPr>
          <w:lang w:val="mk-MK"/>
        </w:rPr>
        <w:t>Наспроти нив, к</w:t>
      </w:r>
      <w:r w:rsidR="00D22DB7" w:rsidRPr="00B63768">
        <w:rPr>
          <w:lang w:val="mk-MK"/>
        </w:rPr>
        <w:t xml:space="preserve">аматните приходи од </w:t>
      </w:r>
      <w:r w:rsidR="00D22DB7" w:rsidRPr="00B63768">
        <w:rPr>
          <w:b/>
          <w:lang w:val="mk-MK"/>
        </w:rPr>
        <w:t>домаќинствата</w:t>
      </w:r>
      <w:r w:rsidR="00D22DB7" w:rsidRPr="00B63768">
        <w:rPr>
          <w:lang w:val="mk-MK"/>
        </w:rPr>
        <w:t xml:space="preserve"> се зголемија за </w:t>
      </w:r>
      <w:r w:rsidRPr="00B63768">
        <w:rPr>
          <w:lang w:val="mk-MK"/>
        </w:rPr>
        <w:t>39,7</w:t>
      </w:r>
      <w:r w:rsidR="00D22DB7" w:rsidRPr="00B63768">
        <w:rPr>
          <w:lang w:val="mk-MK"/>
        </w:rPr>
        <w:t xml:space="preserve"> милиони денари, или за </w:t>
      </w:r>
      <w:r w:rsidRPr="00B63768">
        <w:rPr>
          <w:lang w:val="mk-MK"/>
        </w:rPr>
        <w:t>2,2</w:t>
      </w:r>
      <w:r w:rsidR="00D22DB7" w:rsidRPr="00B63768">
        <w:rPr>
          <w:lang w:val="mk-MK"/>
        </w:rPr>
        <w:t xml:space="preserve">% што соодветствува со </w:t>
      </w:r>
      <w:r w:rsidRPr="00B63768">
        <w:rPr>
          <w:lang w:val="mk-MK"/>
        </w:rPr>
        <w:t>умер</w:t>
      </w:r>
      <w:r w:rsidR="00EE6B2F" w:rsidRPr="00B63768">
        <w:rPr>
          <w:lang w:val="mk-MK"/>
        </w:rPr>
        <w:t>е</w:t>
      </w:r>
      <w:r w:rsidRPr="00B63768">
        <w:rPr>
          <w:lang w:val="mk-MK"/>
        </w:rPr>
        <w:t xml:space="preserve">но </w:t>
      </w:r>
      <w:r w:rsidR="00D22DB7" w:rsidRPr="00B63768">
        <w:rPr>
          <w:lang w:val="mk-MK"/>
        </w:rPr>
        <w:t xml:space="preserve">зголемената кредитна активност кон </w:t>
      </w:r>
      <w:r w:rsidRPr="00B63768">
        <w:rPr>
          <w:lang w:val="mk-MK"/>
        </w:rPr>
        <w:t xml:space="preserve">овој </w:t>
      </w:r>
      <w:r w:rsidR="00D22DB7" w:rsidRPr="00B63768">
        <w:rPr>
          <w:lang w:val="mk-MK"/>
        </w:rPr>
        <w:t>сектор.</w:t>
      </w:r>
      <w:r w:rsidRPr="00B63768">
        <w:rPr>
          <w:lang w:val="mk-MK"/>
        </w:rPr>
        <w:t xml:space="preserve"> Сепак, </w:t>
      </w:r>
      <w:r w:rsidR="00887D6E" w:rsidRPr="00B63768">
        <w:rPr>
          <w:lang w:val="mk-MK"/>
        </w:rPr>
        <w:t>најзнач</w:t>
      </w:r>
      <w:r w:rsidR="00887D6E">
        <w:rPr>
          <w:lang w:val="mk-MK"/>
        </w:rPr>
        <w:t>ител</w:t>
      </w:r>
      <w:r w:rsidR="00887D6E" w:rsidRPr="00B63768">
        <w:rPr>
          <w:lang w:val="mk-MK"/>
        </w:rPr>
        <w:t xml:space="preserve">ен </w:t>
      </w:r>
      <w:r w:rsidRPr="00B63768">
        <w:rPr>
          <w:lang w:val="mk-MK"/>
        </w:rPr>
        <w:t xml:space="preserve">придонес за растот на приходите од камати имаше </w:t>
      </w:r>
      <w:r w:rsidR="00D22DB7" w:rsidRPr="00B63768">
        <w:rPr>
          <w:b/>
          <w:lang w:val="mk-MK"/>
        </w:rPr>
        <w:t>каматн</w:t>
      </w:r>
      <w:r w:rsidRPr="00B63768">
        <w:rPr>
          <w:b/>
          <w:lang w:val="mk-MK"/>
        </w:rPr>
        <w:t>иот</w:t>
      </w:r>
      <w:r w:rsidR="00D22DB7" w:rsidRPr="00B63768">
        <w:rPr>
          <w:b/>
          <w:lang w:val="mk-MK"/>
        </w:rPr>
        <w:t xml:space="preserve"> приход од останати субјекти</w:t>
      </w:r>
      <w:r w:rsidR="00D22DB7" w:rsidRPr="00B63768">
        <w:rPr>
          <w:lang w:val="mk-MK"/>
        </w:rPr>
        <w:t xml:space="preserve">, </w:t>
      </w:r>
      <w:r w:rsidRPr="00B63768">
        <w:rPr>
          <w:lang w:val="mk-MK"/>
        </w:rPr>
        <w:t>којшто главно произлегува</w:t>
      </w:r>
      <w:r w:rsidR="00D22DB7" w:rsidRPr="00B63768">
        <w:rPr>
          <w:lang w:val="mk-MK"/>
        </w:rPr>
        <w:t xml:space="preserve"> од вложувањата во државни записи</w:t>
      </w:r>
      <w:r w:rsidRPr="00B63768">
        <w:rPr>
          <w:lang w:val="mk-MK"/>
        </w:rPr>
        <w:t xml:space="preserve">. Овие приходи </w:t>
      </w:r>
      <w:r w:rsidR="00D22DB7" w:rsidRPr="00B63768">
        <w:rPr>
          <w:lang w:val="mk-MK"/>
        </w:rPr>
        <w:t>оствар</w:t>
      </w:r>
      <w:r w:rsidRPr="00B63768">
        <w:rPr>
          <w:lang w:val="mk-MK"/>
        </w:rPr>
        <w:t xml:space="preserve">ија </w:t>
      </w:r>
      <w:r w:rsidR="00D22DB7" w:rsidRPr="00B63768">
        <w:rPr>
          <w:lang w:val="mk-MK"/>
        </w:rPr>
        <w:t xml:space="preserve">годишен раст </w:t>
      </w:r>
      <w:r w:rsidRPr="00B63768">
        <w:rPr>
          <w:lang w:val="mk-MK"/>
        </w:rPr>
        <w:t>од 164,3 милиони денари, односно за 65,5%, што се должи на зголемениот интерес за запишување државни записи</w:t>
      </w:r>
      <w:r w:rsidRPr="00B63768">
        <w:rPr>
          <w:rStyle w:val="FootnoteReference"/>
          <w:lang w:val="mk-MK"/>
        </w:rPr>
        <w:footnoteReference w:id="54"/>
      </w:r>
      <w:r w:rsidRPr="00B63768">
        <w:rPr>
          <w:lang w:val="mk-MK"/>
        </w:rPr>
        <w:t xml:space="preserve">. Овие движења условија каматните приходи од останати субјекти и домаќинства </w:t>
      </w:r>
      <w:r w:rsidRPr="00B63768">
        <w:rPr>
          <w:lang w:val="mk-MK"/>
        </w:rPr>
        <w:lastRenderedPageBreak/>
        <w:t xml:space="preserve">да го зголемат нивното учество во секторската структура на приходите од камати. </w:t>
      </w:r>
    </w:p>
    <w:p w:rsidR="00BD2F10" w:rsidRPr="00B63768" w:rsidRDefault="00040D2C" w:rsidP="00BD2F10">
      <w:pPr>
        <w:autoSpaceDE w:val="0"/>
        <w:autoSpaceDN w:val="0"/>
        <w:adjustRightInd w:val="0"/>
        <w:ind w:firstLine="709"/>
        <w:rPr>
          <w:bCs/>
          <w:color w:val="FF0000"/>
          <w:highlight w:val="yellow"/>
          <w:lang w:val="mk-MK"/>
        </w:rPr>
      </w:pPr>
      <w:r w:rsidRPr="00040D2C">
        <w:rPr>
          <w:bCs/>
          <w:lang w:val="mk-MK"/>
        </w:rPr>
        <w:pict>
          <v:shape id="_x0000_s1137" type="#_x0000_t202" style="position:absolute;left:0;text-align:left;margin-left:-223.05pt;margin-top:8.35pt;width:209.8pt;height:194.1pt;z-index:251761664">
            <v:textbox style="mso-next-textbox:#_x0000_s1137">
              <w:txbxContent>
                <w:p w:rsidR="006F63B5" w:rsidRPr="004721E1" w:rsidRDefault="006F63B5" w:rsidP="00BD2F10">
                  <w:pPr>
                    <w:pStyle w:val="Caption"/>
                    <w:rPr>
                      <w:lang w:val="mk-MK"/>
                    </w:rPr>
                  </w:pPr>
                  <w:r>
                    <w:t xml:space="preserve">Графикон бр. </w:t>
                  </w:r>
                  <w:fldSimple w:instr=" SEQ Графикон_бр. \* ARABIC ">
                    <w:r>
                      <w:rPr>
                        <w:noProof/>
                      </w:rPr>
                      <w:t>65</w:t>
                    </w:r>
                  </w:fldSimple>
                  <w:r>
                    <w:t xml:space="preserve"> </w:t>
                  </w:r>
                  <w:r w:rsidRPr="00FD267C">
                    <w:rPr>
                      <w:szCs w:val="20"/>
                      <w:lang w:val="mk-MK"/>
                    </w:rPr>
                    <w:t>С</w:t>
                  </w:r>
                  <w:r>
                    <w:rPr>
                      <w:szCs w:val="20"/>
                      <w:lang w:val="mk-MK"/>
                    </w:rPr>
                    <w:t>екторска с</w:t>
                  </w:r>
                  <w:r w:rsidRPr="00FD267C">
                    <w:rPr>
                      <w:szCs w:val="20"/>
                      <w:lang w:val="mk-MK"/>
                    </w:rPr>
                    <w:t xml:space="preserve">труктура на вкупните </w:t>
                  </w:r>
                  <w:r>
                    <w:rPr>
                      <w:szCs w:val="20"/>
                      <w:lang w:val="mk-MK"/>
                    </w:rPr>
                    <w:t>расходи</w:t>
                  </w:r>
                </w:p>
                <w:p w:rsidR="006F63B5" w:rsidRDefault="006F63B5" w:rsidP="00BD2F10">
                  <w:pPr>
                    <w:pStyle w:val="Caption"/>
                    <w:rPr>
                      <w:lang w:val="mk-MK"/>
                    </w:rPr>
                  </w:pPr>
                  <w:r w:rsidRPr="00307CB8">
                    <w:rPr>
                      <w:noProof/>
                    </w:rPr>
                    <w:drawing>
                      <wp:inline distT="0" distB="0" distL="0" distR="0">
                        <wp:extent cx="2509465" cy="1789043"/>
                        <wp:effectExtent l="19050" t="0" r="5135" b="0"/>
                        <wp:docPr id="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srcRect/>
                                <a:stretch>
                                  <a:fillRect/>
                                </a:stretch>
                              </pic:blipFill>
                              <pic:spPr bwMode="auto">
                                <a:xfrm>
                                  <a:off x="0" y="0"/>
                                  <a:ext cx="2515125" cy="1793078"/>
                                </a:xfrm>
                                <a:prstGeom prst="rect">
                                  <a:avLst/>
                                </a:prstGeom>
                                <a:noFill/>
                                <a:ln w="9525">
                                  <a:noFill/>
                                  <a:miter lim="800000"/>
                                  <a:headEnd/>
                                  <a:tailEnd/>
                                </a:ln>
                              </pic:spPr>
                            </pic:pic>
                          </a:graphicData>
                        </a:graphic>
                      </wp:inline>
                    </w:drawing>
                  </w:r>
                </w:p>
                <w:p w:rsidR="006F63B5" w:rsidRPr="00612513" w:rsidRDefault="006F63B5" w:rsidP="00BD2F10">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p>
    <w:p w:rsidR="00BD2F10" w:rsidRPr="00B63768" w:rsidRDefault="00040D2C" w:rsidP="00BD2F10">
      <w:pPr>
        <w:autoSpaceDE w:val="0"/>
        <w:autoSpaceDN w:val="0"/>
        <w:adjustRightInd w:val="0"/>
        <w:ind w:firstLine="708"/>
        <w:rPr>
          <w:bCs/>
          <w:lang w:val="mk-MK"/>
        </w:rPr>
      </w:pPr>
      <w:r w:rsidRPr="00040D2C">
        <w:rPr>
          <w:rFonts w:cs="Tahoma"/>
          <w:b/>
          <w:highlight w:val="yellow"/>
          <w:lang w:val="mk-MK"/>
        </w:rPr>
        <w:pict>
          <v:shape id="_x0000_s1129" type="#_x0000_t202" style="position:absolute;left:0;text-align:left;margin-left:-223.6pt;margin-top:268.45pt;width:211.1pt;height:200.95pt;z-index:251753472">
            <v:textbox style="mso-next-textbox:#_x0000_s1129">
              <w:txbxContent>
                <w:p w:rsidR="006F63B5" w:rsidRPr="00324A50" w:rsidRDefault="006F63B5" w:rsidP="00BD2F10">
                  <w:pPr>
                    <w:pStyle w:val="Caption"/>
                    <w:rPr>
                      <w:lang w:val="mk-MK"/>
                    </w:rPr>
                  </w:pPr>
                  <w:bookmarkStart w:id="211" w:name="_Toc355095877"/>
                  <w:r>
                    <w:t xml:space="preserve">Графикон бр. </w:t>
                  </w:r>
                  <w:fldSimple w:instr=" SEQ Графикон_бр. \* ARABIC ">
                    <w:r>
                      <w:rPr>
                        <w:noProof/>
                      </w:rPr>
                      <w:t>66</w:t>
                    </w:r>
                  </w:fldSimple>
                  <w:r>
                    <w:t xml:space="preserve"> </w:t>
                  </w:r>
                  <w:r w:rsidRPr="00EB246F">
                    <w:rPr>
                      <w:szCs w:val="20"/>
                      <w:lang w:val="mk-MK"/>
                    </w:rPr>
                    <w:t>Користење на вкупните приходи</w:t>
                  </w:r>
                  <w:bookmarkEnd w:id="211"/>
                </w:p>
                <w:p w:rsidR="006F63B5" w:rsidRDefault="006F63B5" w:rsidP="00BD2F10">
                  <w:pPr>
                    <w:rPr>
                      <w:lang w:val="mk-MK"/>
                    </w:rPr>
                  </w:pPr>
                  <w:r w:rsidRPr="00AD1DAD">
                    <w:rPr>
                      <w:noProof/>
                    </w:rPr>
                    <w:drawing>
                      <wp:inline distT="0" distB="0" distL="0" distR="0">
                        <wp:extent cx="2517416" cy="1868556"/>
                        <wp:effectExtent l="19050" t="0" r="0" b="0"/>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srcRect/>
                                <a:stretch>
                                  <a:fillRect/>
                                </a:stretch>
                              </pic:blipFill>
                              <pic:spPr bwMode="auto">
                                <a:xfrm>
                                  <a:off x="0" y="0"/>
                                  <a:ext cx="2519982" cy="1870461"/>
                                </a:xfrm>
                                <a:prstGeom prst="rect">
                                  <a:avLst/>
                                </a:prstGeom>
                                <a:noFill/>
                                <a:ln w="9525">
                                  <a:noFill/>
                                  <a:miter lim="800000"/>
                                  <a:headEnd/>
                                  <a:tailEnd/>
                                </a:ln>
                              </pic:spPr>
                            </pic:pic>
                          </a:graphicData>
                        </a:graphic>
                      </wp:inline>
                    </w:drawing>
                  </w:r>
                </w:p>
                <w:p w:rsidR="006F63B5" w:rsidRPr="00612513" w:rsidRDefault="006F63B5" w:rsidP="00BD2F10">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r w:rsidR="00BD2F10" w:rsidRPr="00B63768">
        <w:rPr>
          <w:bCs/>
          <w:lang w:val="mk-MK"/>
        </w:rPr>
        <w:t xml:space="preserve">Придонес кон зголемување на нето каматниот приход имаше и намалувањето на </w:t>
      </w:r>
      <w:r w:rsidR="00BD2F10" w:rsidRPr="00B63768">
        <w:rPr>
          <w:b/>
          <w:bCs/>
          <w:lang w:val="mk-MK"/>
        </w:rPr>
        <w:t xml:space="preserve">каматните расходи </w:t>
      </w:r>
      <w:r w:rsidR="00BD2F10" w:rsidRPr="00B63768">
        <w:rPr>
          <w:bCs/>
          <w:lang w:val="mk-MK"/>
        </w:rPr>
        <w:t xml:space="preserve">за 206,5 милиони денари, односно за 9,2%, што се должи на намалувањето на расходите од камати од сите  сектори. Најголем придонес од 43,8% имаа каматните расходи од </w:t>
      </w:r>
      <w:r w:rsidR="00BD2F10" w:rsidRPr="00B63768">
        <w:rPr>
          <w:lang w:val="mk-MK"/>
        </w:rPr>
        <w:t>секторот „домаќинства“, кои</w:t>
      </w:r>
      <w:r w:rsidR="00D23B4B">
        <w:rPr>
          <w:lang w:val="mk-MK"/>
        </w:rPr>
        <w:t>што</w:t>
      </w:r>
      <w:r w:rsidR="00BD2F10" w:rsidRPr="00B63768">
        <w:rPr>
          <w:lang w:val="mk-MK"/>
        </w:rPr>
        <w:t xml:space="preserve"> на годишна основа се намалија за 90,4 милиони денари</w:t>
      </w:r>
      <w:r w:rsidR="00D23B4B">
        <w:rPr>
          <w:lang w:val="mk-MK"/>
        </w:rPr>
        <w:t>,</w:t>
      </w:r>
      <w:r w:rsidR="00BD2F10" w:rsidRPr="00B63768">
        <w:rPr>
          <w:lang w:val="mk-MK"/>
        </w:rPr>
        <w:t xml:space="preserve"> или за 6,3%, што с</w:t>
      </w:r>
      <w:r w:rsidR="00BD2F10" w:rsidRPr="00B63768">
        <w:rPr>
          <w:bCs/>
          <w:lang w:val="mk-MK"/>
        </w:rPr>
        <w:t>е должи на пониските каматни стапки на депозитите, во споредба со март 2012 година, и покрај порастот на депозитите на домаќинства</w:t>
      </w:r>
      <w:r w:rsidR="00D23B4B">
        <w:rPr>
          <w:bCs/>
          <w:lang w:val="mk-MK"/>
        </w:rPr>
        <w:t>та</w:t>
      </w:r>
      <w:r w:rsidR="00BD2F10" w:rsidRPr="00B63768">
        <w:rPr>
          <w:rStyle w:val="FootnoteReference"/>
          <w:bCs/>
          <w:lang w:val="mk-MK"/>
        </w:rPr>
        <w:footnoteReference w:id="55"/>
      </w:r>
      <w:r w:rsidR="00BD2F10" w:rsidRPr="00B63768">
        <w:rPr>
          <w:bCs/>
          <w:lang w:val="mk-MK"/>
        </w:rPr>
        <w:t xml:space="preserve">. </w:t>
      </w:r>
      <w:r w:rsidR="00BD2F10" w:rsidRPr="00B63768">
        <w:rPr>
          <w:lang w:val="mk-MK"/>
        </w:rPr>
        <w:t>Дополнителен придонес кон намалувањето на каматните расходи на банките имаа и каматните расходи кон останати</w:t>
      </w:r>
      <w:r w:rsidR="00D23B4B">
        <w:rPr>
          <w:lang w:val="mk-MK"/>
        </w:rPr>
        <w:t>те</w:t>
      </w:r>
      <w:r w:rsidR="00BD2F10" w:rsidRPr="00B63768">
        <w:rPr>
          <w:lang w:val="mk-MK"/>
        </w:rPr>
        <w:t xml:space="preserve"> субјекти</w:t>
      </w:r>
      <w:r w:rsidR="00D23B4B">
        <w:rPr>
          <w:lang w:val="mk-MK"/>
        </w:rPr>
        <w:t>,</w:t>
      </w:r>
      <w:r w:rsidR="00BD2F10" w:rsidRPr="00B63768">
        <w:rPr>
          <w:lang w:val="mk-MK"/>
        </w:rPr>
        <w:t xml:space="preserve"> </w:t>
      </w:r>
      <w:r w:rsidR="00AC731B" w:rsidRPr="00B63768">
        <w:rPr>
          <w:lang w:val="mk-MK"/>
        </w:rPr>
        <w:t xml:space="preserve">коишто </w:t>
      </w:r>
      <w:r w:rsidR="00D92A43" w:rsidRPr="00B63768">
        <w:rPr>
          <w:lang w:val="mk-MK"/>
        </w:rPr>
        <w:t>се намалија</w:t>
      </w:r>
      <w:r w:rsidR="00AC731B" w:rsidRPr="00B63768">
        <w:rPr>
          <w:lang w:val="mk-MK"/>
        </w:rPr>
        <w:t xml:space="preserve"> за</w:t>
      </w:r>
      <w:r w:rsidR="00BD2F10" w:rsidRPr="00B63768">
        <w:rPr>
          <w:lang w:val="mk-MK"/>
        </w:rPr>
        <w:t xml:space="preserve"> 63,5 милиони денари (или </w:t>
      </w:r>
      <w:r w:rsidR="00AC731B" w:rsidRPr="00B63768">
        <w:rPr>
          <w:lang w:val="mk-MK"/>
        </w:rPr>
        <w:t xml:space="preserve">за </w:t>
      </w:r>
      <w:r w:rsidR="00BD2F10" w:rsidRPr="00B63768">
        <w:rPr>
          <w:lang w:val="mk-MK"/>
        </w:rPr>
        <w:t>18,9%)</w:t>
      </w:r>
      <w:r w:rsidR="00BD2F10" w:rsidRPr="00B63768">
        <w:rPr>
          <w:rStyle w:val="FootnoteReference"/>
          <w:lang w:val="mk-MK"/>
        </w:rPr>
        <w:footnoteReference w:id="56"/>
      </w:r>
      <w:r w:rsidR="00D23B4B">
        <w:rPr>
          <w:lang w:val="mk-MK"/>
        </w:rPr>
        <w:t>,</w:t>
      </w:r>
      <w:r w:rsidR="00BD2F10" w:rsidRPr="00B63768">
        <w:rPr>
          <w:lang w:val="mk-MK"/>
        </w:rPr>
        <w:t xml:space="preserve"> како и на нефинансиските друштва (</w:t>
      </w:r>
      <w:r w:rsidR="00AC731B" w:rsidRPr="00B63768">
        <w:rPr>
          <w:lang w:val="mk-MK"/>
        </w:rPr>
        <w:t xml:space="preserve">за </w:t>
      </w:r>
      <w:r w:rsidR="00BD2F10" w:rsidRPr="00B63768">
        <w:rPr>
          <w:lang w:val="mk-MK"/>
        </w:rPr>
        <w:t xml:space="preserve">52,5 милиони денари или </w:t>
      </w:r>
      <w:r w:rsidR="00AC731B" w:rsidRPr="00B63768">
        <w:rPr>
          <w:lang w:val="mk-MK"/>
        </w:rPr>
        <w:t xml:space="preserve">за </w:t>
      </w:r>
      <w:r w:rsidR="00BD2F10" w:rsidRPr="00B63768">
        <w:rPr>
          <w:lang w:val="mk-MK"/>
        </w:rPr>
        <w:t>18,9%). Намалувањето на каматните расходи од нефинансиски</w:t>
      </w:r>
      <w:r w:rsidR="00D23B4B">
        <w:rPr>
          <w:lang w:val="mk-MK"/>
        </w:rPr>
        <w:t>те</w:t>
      </w:r>
      <w:r w:rsidR="00BD2F10" w:rsidRPr="00B63768">
        <w:rPr>
          <w:lang w:val="mk-MK"/>
        </w:rPr>
        <w:t xml:space="preserve"> друштва произлегува од намалените депозити од претпријатија</w:t>
      </w:r>
      <w:r w:rsidR="00D23B4B">
        <w:rPr>
          <w:lang w:val="mk-MK"/>
        </w:rPr>
        <w:t>та</w:t>
      </w:r>
      <w:r w:rsidR="00BD2F10" w:rsidRPr="00B63768">
        <w:rPr>
          <w:lang w:val="mk-MK"/>
        </w:rPr>
        <w:t xml:space="preserve"> и намалените каматни стапки. </w:t>
      </w:r>
    </w:p>
    <w:p w:rsidR="00BD2F10" w:rsidRPr="00B63768" w:rsidRDefault="00BD2F10" w:rsidP="00BD2F10">
      <w:pPr>
        <w:autoSpaceDE w:val="0"/>
        <w:autoSpaceDN w:val="0"/>
        <w:adjustRightInd w:val="0"/>
        <w:ind w:firstLine="708"/>
        <w:rPr>
          <w:bCs/>
          <w:lang w:val="mk-MK"/>
        </w:rPr>
      </w:pPr>
    </w:p>
    <w:p w:rsidR="00BD2F10" w:rsidRPr="00B63768" w:rsidRDefault="00BD2F10" w:rsidP="00BD2F10">
      <w:pPr>
        <w:autoSpaceDE w:val="0"/>
        <w:autoSpaceDN w:val="0"/>
        <w:adjustRightInd w:val="0"/>
        <w:ind w:firstLine="708"/>
        <w:rPr>
          <w:bCs/>
          <w:lang w:val="mk-MK"/>
        </w:rPr>
      </w:pPr>
      <w:r w:rsidRPr="00B63768">
        <w:rPr>
          <w:b/>
          <w:lang w:val="mk-MK"/>
        </w:rPr>
        <w:t>Најголемиот дел од вкупните приходи на банките се троши за покривање на оперативните трошоци</w:t>
      </w:r>
      <w:r w:rsidRPr="00B63768">
        <w:rPr>
          <w:rStyle w:val="FootnoteReference"/>
          <w:rFonts w:cs="Tahoma"/>
          <w:bCs/>
          <w:lang w:val="mk-MK"/>
        </w:rPr>
        <w:footnoteReference w:id="57"/>
      </w:r>
      <w:r w:rsidRPr="00B63768">
        <w:rPr>
          <w:lang w:val="mk-MK"/>
        </w:rPr>
        <w:t xml:space="preserve"> и на исправката на вредноста. Во споредба со првите три месеци од 2012 година се забележува намалување на нивното учество во вкупните приходи на банките за 3,2 и 1,4 процентни поени, соодветно. </w:t>
      </w:r>
    </w:p>
    <w:p w:rsidR="000C7054" w:rsidRPr="00B63768" w:rsidRDefault="000C7054" w:rsidP="00BD2F10">
      <w:pPr>
        <w:autoSpaceDE w:val="0"/>
        <w:autoSpaceDN w:val="0"/>
        <w:adjustRightInd w:val="0"/>
        <w:ind w:firstLine="708"/>
        <w:rPr>
          <w:b/>
          <w:lang w:val="mk-MK"/>
        </w:rPr>
      </w:pPr>
    </w:p>
    <w:p w:rsidR="00BD2F10" w:rsidRPr="00B63768" w:rsidRDefault="00BD2F10" w:rsidP="00BD2F10">
      <w:pPr>
        <w:autoSpaceDE w:val="0"/>
        <w:autoSpaceDN w:val="0"/>
        <w:adjustRightInd w:val="0"/>
        <w:ind w:firstLine="708"/>
        <w:rPr>
          <w:highlight w:val="yellow"/>
          <w:lang w:val="mk-MK"/>
        </w:rPr>
      </w:pPr>
      <w:r w:rsidRPr="00B63768">
        <w:rPr>
          <w:b/>
          <w:lang w:val="mk-MK"/>
        </w:rPr>
        <w:t>Оперативните трошоци на банките</w:t>
      </w:r>
      <w:r w:rsidRPr="00B63768">
        <w:rPr>
          <w:lang w:val="mk-MK"/>
        </w:rPr>
        <w:t xml:space="preserve"> се зголемија за 49,2 милиона денари (1,9%), при што најголем пораст од 68,1 милион денари, или 44,1%, има кај групата останати </w:t>
      </w:r>
      <w:r w:rsidRPr="00B63768">
        <w:rPr>
          <w:lang w:val="mk-MK"/>
        </w:rPr>
        <w:lastRenderedPageBreak/>
        <w:t>оперативни трошоци</w:t>
      </w:r>
      <w:r w:rsidRPr="00B63768">
        <w:rPr>
          <w:rStyle w:val="FootnoteReference"/>
          <w:rFonts w:cs="Tahoma"/>
          <w:bCs/>
          <w:lang w:val="mk-MK"/>
        </w:rPr>
        <w:footnoteReference w:id="58"/>
      </w:r>
      <w:r w:rsidRPr="00B63768">
        <w:rPr>
          <w:lang w:val="mk-MK"/>
        </w:rPr>
        <w:t xml:space="preserve">. Поизразено годишно зголемување од 28,3 милиони денари (2,9%) има и кај трошоците за вработените, како и кај премиите за осигурување депозити (22,0 милиони денари или за 7,4%), што соодветствува со годишниот раст на депозитите на банките. Во рамки на оперативните трошоци на банките, позначително намалување од 50,9 милиони денари (5,8%) има кај општите и административните трошоци. </w:t>
      </w:r>
    </w:p>
    <w:p w:rsidR="00BD2F10" w:rsidRPr="00B63768" w:rsidRDefault="00040D2C" w:rsidP="00BD2F10">
      <w:pPr>
        <w:autoSpaceDE w:val="0"/>
        <w:autoSpaceDN w:val="0"/>
        <w:adjustRightInd w:val="0"/>
        <w:ind w:firstLine="708"/>
        <w:rPr>
          <w:bCs/>
          <w:lang w:val="mk-MK"/>
        </w:rPr>
      </w:pPr>
      <w:r w:rsidRPr="00040D2C">
        <w:rPr>
          <w:b/>
          <w:highlight w:val="magenta"/>
          <w:lang w:val="mk-MK"/>
        </w:rPr>
        <w:pict>
          <v:shape id="_x0000_s1134" type="#_x0000_t202" style="position:absolute;left:0;text-align:left;margin-left:-224.15pt;margin-top:-154.4pt;width:207.3pt;height:207.25pt;z-index:251758592">
            <v:textbox style="mso-next-textbox:#_x0000_s1134">
              <w:txbxContent>
                <w:p w:rsidR="006F63B5" w:rsidRPr="00BD5463" w:rsidRDefault="006F63B5" w:rsidP="00BD2F10">
                  <w:pPr>
                    <w:pStyle w:val="Caption"/>
                    <w:rPr>
                      <w:lang w:val="mk-MK"/>
                    </w:rPr>
                  </w:pPr>
                  <w:bookmarkStart w:id="212" w:name="_Toc355095880"/>
                  <w:r>
                    <w:t xml:space="preserve">Графикон бр. </w:t>
                  </w:r>
                  <w:fldSimple w:instr=" SEQ Графикон_бр. \* ARABIC ">
                    <w:r>
                      <w:rPr>
                        <w:noProof/>
                      </w:rPr>
                      <w:t>67</w:t>
                    </w:r>
                  </w:fldSimple>
                  <w:r>
                    <w:t xml:space="preserve"> </w:t>
                  </w:r>
                  <w:r w:rsidRPr="00955A62">
                    <w:rPr>
                      <w:lang w:val="mk-MK"/>
                    </w:rPr>
                    <w:t xml:space="preserve">Структура на </w:t>
                  </w:r>
                  <w:r w:rsidRPr="00955A62">
                    <w:rPr>
                      <w:szCs w:val="20"/>
                      <w:lang w:val="mk-MK"/>
                    </w:rPr>
                    <w:t>оперативните трошоци</w:t>
                  </w:r>
                  <w:bookmarkEnd w:id="212"/>
                </w:p>
                <w:p w:rsidR="006F63B5" w:rsidRDefault="006F63B5" w:rsidP="00BD2F10">
                  <w:pPr>
                    <w:tabs>
                      <w:tab w:val="left" w:pos="0"/>
                    </w:tabs>
                    <w:rPr>
                      <w:lang w:val="mk-MK"/>
                    </w:rPr>
                  </w:pPr>
                  <w:r w:rsidRPr="00172948">
                    <w:rPr>
                      <w:noProof/>
                    </w:rPr>
                    <w:drawing>
                      <wp:inline distT="0" distB="0" distL="0" distR="0">
                        <wp:extent cx="2430283" cy="1876508"/>
                        <wp:effectExtent l="19050" t="0" r="8117" b="0"/>
                        <wp:docPr id="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srcRect/>
                                <a:stretch>
                                  <a:fillRect/>
                                </a:stretch>
                              </pic:blipFill>
                              <pic:spPr bwMode="auto">
                                <a:xfrm>
                                  <a:off x="0" y="0"/>
                                  <a:ext cx="2431521" cy="1877464"/>
                                </a:xfrm>
                                <a:prstGeom prst="rect">
                                  <a:avLst/>
                                </a:prstGeom>
                                <a:noFill/>
                                <a:ln w="9525">
                                  <a:noFill/>
                                  <a:miter lim="800000"/>
                                  <a:headEnd/>
                                  <a:tailEnd/>
                                </a:ln>
                              </pic:spPr>
                            </pic:pic>
                          </a:graphicData>
                        </a:graphic>
                      </wp:inline>
                    </w:drawing>
                  </w:r>
                </w:p>
                <w:p w:rsidR="006F63B5" w:rsidRPr="00612513" w:rsidRDefault="006F63B5" w:rsidP="00BD2F10">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p>
    <w:p w:rsidR="00BD2F10" w:rsidRPr="00B63768" w:rsidRDefault="00040D2C" w:rsidP="00BD2F10">
      <w:pPr>
        <w:autoSpaceDE w:val="0"/>
        <w:autoSpaceDN w:val="0"/>
        <w:adjustRightInd w:val="0"/>
        <w:ind w:firstLine="708"/>
        <w:rPr>
          <w:lang w:val="mk-MK"/>
        </w:rPr>
      </w:pPr>
      <w:r w:rsidRPr="00040D2C">
        <w:rPr>
          <w:highlight w:val="magenta"/>
          <w:lang w:val="mk-MK"/>
        </w:rPr>
        <w:pict>
          <v:shape id="_x0000_s1130" type="#_x0000_t202" style="position:absolute;left:0;text-align:left;margin-left:-226pt;margin-top:104.2pt;width:209.15pt;height:201.1pt;z-index:251754496">
            <v:textbox style="mso-next-textbox:#_x0000_s1130">
              <w:txbxContent>
                <w:p w:rsidR="006F63B5" w:rsidRDefault="006F63B5" w:rsidP="00BD2F10">
                  <w:pPr>
                    <w:pStyle w:val="Caption"/>
                    <w:rPr>
                      <w:noProof/>
                      <w:lang w:val="mk-MK"/>
                    </w:rPr>
                  </w:pPr>
                  <w:bookmarkStart w:id="213" w:name="_Toc355095879"/>
                  <w:r>
                    <w:t xml:space="preserve">Графикон бр. </w:t>
                  </w:r>
                  <w:fldSimple w:instr=" SEQ Графикон_бр. \* ARABIC ">
                    <w:r>
                      <w:rPr>
                        <w:noProof/>
                      </w:rPr>
                      <w:t>68</w:t>
                    </w:r>
                  </w:fldSimple>
                  <w:r>
                    <w:t xml:space="preserve"> </w:t>
                  </w:r>
                  <w:r w:rsidRPr="006F2E88">
                    <w:rPr>
                      <w:szCs w:val="20"/>
                      <w:lang w:val="mk-MK"/>
                    </w:rPr>
                    <w:t>Влијание на исправката на вредноста врз висината на добивката</w:t>
                  </w:r>
                  <w:bookmarkEnd w:id="213"/>
                  <w:r>
                    <w:rPr>
                      <w:szCs w:val="20"/>
                      <w:lang w:val="mk-MK"/>
                    </w:rPr>
                    <w:t xml:space="preserve"> </w:t>
                  </w:r>
                </w:p>
                <w:p w:rsidR="006F63B5" w:rsidRPr="00D00AE5" w:rsidRDefault="006F63B5" w:rsidP="00BD2F10">
                  <w:pPr>
                    <w:tabs>
                      <w:tab w:val="left" w:pos="0"/>
                    </w:tabs>
                    <w:rPr>
                      <w:lang w:val="mk-MK"/>
                    </w:rPr>
                  </w:pPr>
                  <w:r w:rsidRPr="00903CFF">
                    <w:rPr>
                      <w:noProof/>
                    </w:rPr>
                    <w:drawing>
                      <wp:inline distT="0" distB="0" distL="0" distR="0">
                        <wp:extent cx="2493242" cy="1709531"/>
                        <wp:effectExtent l="19050" t="0" r="2308" b="0"/>
                        <wp:docPr id="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srcRect/>
                                <a:stretch>
                                  <a:fillRect/>
                                </a:stretch>
                              </pic:blipFill>
                              <pic:spPr bwMode="auto">
                                <a:xfrm>
                                  <a:off x="0" y="0"/>
                                  <a:ext cx="2491553" cy="1708373"/>
                                </a:xfrm>
                                <a:prstGeom prst="rect">
                                  <a:avLst/>
                                </a:prstGeom>
                                <a:noFill/>
                                <a:ln w="9525">
                                  <a:noFill/>
                                  <a:miter lim="800000"/>
                                  <a:headEnd/>
                                  <a:tailEnd/>
                                </a:ln>
                              </pic:spPr>
                            </pic:pic>
                          </a:graphicData>
                        </a:graphic>
                      </wp:inline>
                    </w:drawing>
                  </w:r>
                </w:p>
                <w:p w:rsidR="006F63B5" w:rsidRPr="003978DD" w:rsidRDefault="006F63B5" w:rsidP="00BD2F10">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F63B5" w:rsidRPr="00854D9B" w:rsidRDefault="006F63B5" w:rsidP="00BD2F10">
                  <w:pPr>
                    <w:rPr>
                      <w:lang w:val="mk-MK"/>
                    </w:rPr>
                  </w:pPr>
                </w:p>
              </w:txbxContent>
            </v:textbox>
          </v:shape>
        </w:pict>
      </w:r>
      <w:r w:rsidR="00BD2F10" w:rsidRPr="00B63768">
        <w:rPr>
          <w:b/>
          <w:lang w:val="mk-MK"/>
        </w:rPr>
        <w:t xml:space="preserve">Исправката на вредноста претставува </w:t>
      </w:r>
      <w:r w:rsidR="007D5A0D" w:rsidRPr="00B63768">
        <w:rPr>
          <w:b/>
          <w:lang w:val="mk-MK"/>
        </w:rPr>
        <w:t xml:space="preserve">значаен </w:t>
      </w:r>
      <w:r w:rsidR="00BD2F10" w:rsidRPr="00B63768">
        <w:rPr>
          <w:b/>
          <w:lang w:val="mk-MK"/>
        </w:rPr>
        <w:t xml:space="preserve">фактор за остварениот негативен финансиски резултат на банките. </w:t>
      </w:r>
      <w:r w:rsidR="00BD2F10" w:rsidRPr="00B63768">
        <w:rPr>
          <w:lang w:val="mk-MK"/>
        </w:rPr>
        <w:t xml:space="preserve"> На ниво на целиот банкарски систем</w:t>
      </w:r>
      <w:r w:rsidR="00D23B4B">
        <w:rPr>
          <w:lang w:val="mk-MK"/>
        </w:rPr>
        <w:t>,</w:t>
      </w:r>
      <w:r w:rsidR="00BD2F10" w:rsidRPr="00B63768">
        <w:rPr>
          <w:lang w:val="mk-MK"/>
        </w:rPr>
        <w:t xml:space="preserve"> </w:t>
      </w:r>
      <w:r w:rsidR="00D23B4B" w:rsidRPr="00B63768">
        <w:rPr>
          <w:lang w:val="mk-MK"/>
        </w:rPr>
        <w:t>нето</w:t>
      </w:r>
      <w:r w:rsidR="00D23B4B">
        <w:rPr>
          <w:lang w:val="mk-MK"/>
        </w:rPr>
        <w:t>-</w:t>
      </w:r>
      <w:r w:rsidR="00BD2F10" w:rsidRPr="00B63768">
        <w:rPr>
          <w:lang w:val="mk-MK"/>
        </w:rPr>
        <w:t>исправката на вредноста забележа забавен раст (за 60 милиони денари</w:t>
      </w:r>
      <w:r w:rsidR="00D23B4B">
        <w:rPr>
          <w:lang w:val="mk-MK"/>
        </w:rPr>
        <w:t>,</w:t>
      </w:r>
      <w:r w:rsidR="00BD2F10" w:rsidRPr="00B63768">
        <w:rPr>
          <w:lang w:val="mk-MK"/>
        </w:rPr>
        <w:t xml:space="preserve"> или за 3,6%) и во целост се должи на зголемувањето на исправката на вредноста на нефинансиските средства</w:t>
      </w:r>
      <w:r w:rsidR="00BD2F10" w:rsidRPr="00B63768">
        <w:rPr>
          <w:rStyle w:val="FootnoteReference"/>
          <w:lang w:val="mk-MK"/>
        </w:rPr>
        <w:footnoteReference w:id="59"/>
      </w:r>
      <w:r w:rsidR="00BD2F10" w:rsidRPr="00B63768">
        <w:rPr>
          <w:lang w:val="mk-MK"/>
        </w:rPr>
        <w:t xml:space="preserve">. За споредба, во истиот период минатата година </w:t>
      </w:r>
      <w:r w:rsidR="00D23B4B" w:rsidRPr="00B63768">
        <w:rPr>
          <w:lang w:val="mk-MK"/>
        </w:rPr>
        <w:t>нето</w:t>
      </w:r>
      <w:r w:rsidR="00D23B4B">
        <w:rPr>
          <w:lang w:val="mk-MK"/>
        </w:rPr>
        <w:t>-</w:t>
      </w:r>
      <w:r w:rsidR="00BD2F10" w:rsidRPr="00B63768">
        <w:rPr>
          <w:lang w:val="mk-MK"/>
        </w:rPr>
        <w:t>исправката на вредност</w:t>
      </w:r>
      <w:r w:rsidR="00D23B4B">
        <w:rPr>
          <w:lang w:val="mk-MK"/>
        </w:rPr>
        <w:t>а</w:t>
      </w:r>
      <w:r w:rsidR="00BD2F10" w:rsidRPr="00B63768">
        <w:rPr>
          <w:lang w:val="mk-MK"/>
        </w:rPr>
        <w:t xml:space="preserve"> за финансиски</w:t>
      </w:r>
      <w:r w:rsidR="00D23B4B">
        <w:rPr>
          <w:lang w:val="mk-MK"/>
        </w:rPr>
        <w:t>те</w:t>
      </w:r>
      <w:r w:rsidR="00BD2F10" w:rsidRPr="00B63768">
        <w:rPr>
          <w:lang w:val="mk-MK"/>
        </w:rPr>
        <w:t xml:space="preserve"> и нефинансиски</w:t>
      </w:r>
      <w:r w:rsidR="00D23B4B">
        <w:rPr>
          <w:lang w:val="mk-MK"/>
        </w:rPr>
        <w:t>те</w:t>
      </w:r>
      <w:r w:rsidR="00BD2F10" w:rsidRPr="00B63768">
        <w:rPr>
          <w:lang w:val="mk-MK"/>
        </w:rPr>
        <w:t xml:space="preserve"> средства забележа раст од 592,2 </w:t>
      </w:r>
      <w:r w:rsidR="00D23B4B" w:rsidRPr="00B63768">
        <w:rPr>
          <w:lang w:val="mk-MK"/>
        </w:rPr>
        <w:t>милион</w:t>
      </w:r>
      <w:r w:rsidR="00D23B4B">
        <w:rPr>
          <w:lang w:val="mk-MK"/>
        </w:rPr>
        <w:t>а</w:t>
      </w:r>
      <w:r w:rsidR="00D23B4B" w:rsidRPr="00B63768">
        <w:rPr>
          <w:lang w:val="mk-MK"/>
        </w:rPr>
        <w:t xml:space="preserve"> </w:t>
      </w:r>
      <w:r w:rsidR="00BD2F10" w:rsidRPr="00B63768">
        <w:rPr>
          <w:lang w:val="mk-MK"/>
        </w:rPr>
        <w:t xml:space="preserve">денари (или за 54,8%). </w:t>
      </w:r>
      <w:r w:rsidR="00D23B4B" w:rsidRPr="00B63768">
        <w:rPr>
          <w:lang w:val="mk-MK"/>
        </w:rPr>
        <w:t>Нето</w:t>
      </w:r>
      <w:r w:rsidR="00D23B4B">
        <w:rPr>
          <w:lang w:val="mk-MK"/>
        </w:rPr>
        <w:t>-</w:t>
      </w:r>
      <w:r w:rsidR="00BD2F10" w:rsidRPr="00B63768">
        <w:rPr>
          <w:lang w:val="mk-MK"/>
        </w:rPr>
        <w:t>исправката на вредноста на финансиските средства на годишно ниво се намали за 48,3 милиони денари (3,0%). Доколку се анализира износот на добивката пред издвојувањето на исправката на вредноста за финансиски</w:t>
      </w:r>
      <w:r w:rsidR="00D23B4B">
        <w:rPr>
          <w:lang w:val="mk-MK"/>
        </w:rPr>
        <w:t>те</w:t>
      </w:r>
      <w:r w:rsidR="00BD2F10" w:rsidRPr="00B63768">
        <w:rPr>
          <w:lang w:val="mk-MK"/>
        </w:rPr>
        <w:t xml:space="preserve"> и нефинансиски</w:t>
      </w:r>
      <w:r w:rsidR="00D23B4B">
        <w:rPr>
          <w:lang w:val="mk-MK"/>
        </w:rPr>
        <w:t>те</w:t>
      </w:r>
      <w:r w:rsidR="00BD2F10" w:rsidRPr="00B63768">
        <w:rPr>
          <w:lang w:val="mk-MK"/>
        </w:rPr>
        <w:t xml:space="preserve"> средства, тогаш таа би изнесувала 1.692 </w:t>
      </w:r>
      <w:r w:rsidR="00D23B4B" w:rsidRPr="00B63768">
        <w:rPr>
          <w:lang w:val="mk-MK"/>
        </w:rPr>
        <w:t>милион</w:t>
      </w:r>
      <w:r w:rsidR="00D23B4B">
        <w:rPr>
          <w:lang w:val="mk-MK"/>
        </w:rPr>
        <w:t>а</w:t>
      </w:r>
      <w:r w:rsidR="00D23B4B" w:rsidRPr="00B63768">
        <w:rPr>
          <w:lang w:val="mk-MK"/>
        </w:rPr>
        <w:t xml:space="preserve"> </w:t>
      </w:r>
      <w:r w:rsidR="00BD2F10" w:rsidRPr="00B63768">
        <w:rPr>
          <w:lang w:val="mk-MK"/>
        </w:rPr>
        <w:t>денари</w:t>
      </w:r>
      <w:r w:rsidR="00D23B4B">
        <w:rPr>
          <w:lang w:val="mk-MK"/>
        </w:rPr>
        <w:t>,</w:t>
      </w:r>
      <w:r w:rsidR="00BD2F10" w:rsidRPr="00B63768">
        <w:rPr>
          <w:lang w:val="mk-MK"/>
        </w:rPr>
        <w:t xml:space="preserve"> или за 247,9 милиони денари (17,2%) повеќе од добивката пред исправката на вредноста во истиот период минатата година. </w:t>
      </w:r>
    </w:p>
    <w:p w:rsidR="00BD2F10" w:rsidRPr="00B63768" w:rsidRDefault="00BD2F10" w:rsidP="00BD2F10">
      <w:pPr>
        <w:autoSpaceDE w:val="0"/>
        <w:autoSpaceDN w:val="0"/>
        <w:adjustRightInd w:val="0"/>
        <w:ind w:firstLine="708"/>
        <w:rPr>
          <w:highlight w:val="yellow"/>
          <w:lang w:val="mk-MK"/>
        </w:rPr>
      </w:pPr>
    </w:p>
    <w:p w:rsidR="00BD2F10" w:rsidRPr="00B63768" w:rsidRDefault="00040D2C" w:rsidP="003B2315">
      <w:pPr>
        <w:pStyle w:val="Heading3"/>
      </w:pPr>
      <w:bookmarkStart w:id="214" w:name="_Toc354057747"/>
      <w:bookmarkStart w:id="215" w:name="_Toc362007071"/>
      <w:bookmarkStart w:id="216" w:name="_Toc297621307"/>
      <w:bookmarkStart w:id="217" w:name="_Toc299102841"/>
      <w:bookmarkStart w:id="218" w:name="_Toc303173389"/>
      <w:bookmarkStart w:id="219" w:name="_Toc309974308"/>
      <w:r w:rsidRPr="00040D2C">
        <w:rPr>
          <w:highlight w:val="yellow"/>
        </w:rPr>
        <w:pict>
          <v:shape id="_x0000_s1136" type="#_x0000_t202" style="position:absolute;left:0;text-align:left;margin-left:-226.85pt;margin-top:-9.6pt;width:216.25pt;height:346.4pt;z-index:251760640">
            <v:textbox style="mso-next-textbox:#_x0000_s1136">
              <w:txbxContent>
                <w:p w:rsidR="006F63B5" w:rsidRDefault="006F63B5" w:rsidP="00BD2F10">
                  <w:pPr>
                    <w:pStyle w:val="Caption"/>
                    <w:rPr>
                      <w:lang w:val="mk-MK"/>
                    </w:rPr>
                  </w:pPr>
                  <w:bookmarkStart w:id="220" w:name="_Toc355095881"/>
                  <w:r>
                    <w:t xml:space="preserve">Графикон бр. </w:t>
                  </w:r>
                  <w:fldSimple w:instr=" SEQ Графикон_бр. \* ARABIC ">
                    <w:r>
                      <w:rPr>
                        <w:noProof/>
                      </w:rPr>
                      <w:t>69</w:t>
                    </w:r>
                  </w:fldSimple>
                  <w:r>
                    <w:t xml:space="preserve"> </w:t>
                  </w:r>
                  <w:r>
                    <w:rPr>
                      <w:szCs w:val="20"/>
                      <w:lang w:val="mk-MK"/>
                    </w:rPr>
                    <w:t>А</w:t>
                  </w:r>
                  <w:r w:rsidRPr="002B0820">
                    <w:rPr>
                      <w:szCs w:val="20"/>
                      <w:lang w:val="mk-MK"/>
                    </w:rPr>
                    <w:t>ктивни (горе) и пасивни (дол</w:t>
                  </w:r>
                  <w:r>
                    <w:rPr>
                      <w:szCs w:val="20"/>
                      <w:lang w:val="mk-MK"/>
                    </w:rPr>
                    <w:t>у</w:t>
                  </w:r>
                  <w:r w:rsidRPr="002B0820">
                    <w:rPr>
                      <w:szCs w:val="20"/>
                      <w:lang w:val="mk-MK"/>
                    </w:rPr>
                    <w:t>) каматни стапки</w:t>
                  </w:r>
                  <w:bookmarkEnd w:id="220"/>
                </w:p>
                <w:p w:rsidR="006F63B5" w:rsidRDefault="006F63B5" w:rsidP="00BD2F10">
                  <w:pPr>
                    <w:tabs>
                      <w:tab w:val="left" w:pos="0"/>
                    </w:tabs>
                    <w:rPr>
                      <w:lang w:val="mk-MK"/>
                    </w:rPr>
                  </w:pPr>
                  <w:r w:rsidRPr="003B7935">
                    <w:rPr>
                      <w:noProof/>
                    </w:rPr>
                    <w:drawing>
                      <wp:inline distT="0" distB="0" distL="0" distR="0">
                        <wp:extent cx="2553970" cy="3389265"/>
                        <wp:effectExtent l="1905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srcRect/>
                                <a:stretch>
                                  <a:fillRect/>
                                </a:stretch>
                              </pic:blipFill>
                              <pic:spPr bwMode="auto">
                                <a:xfrm>
                                  <a:off x="0" y="0"/>
                                  <a:ext cx="2553970" cy="3389265"/>
                                </a:xfrm>
                                <a:prstGeom prst="rect">
                                  <a:avLst/>
                                </a:prstGeom>
                                <a:noFill/>
                                <a:ln w="9525">
                                  <a:noFill/>
                                  <a:miter lim="800000"/>
                                  <a:headEnd/>
                                  <a:tailEnd/>
                                </a:ln>
                              </pic:spPr>
                            </pic:pic>
                          </a:graphicData>
                        </a:graphic>
                      </wp:inline>
                    </w:drawing>
                  </w:r>
                </w:p>
                <w:p w:rsidR="006F63B5" w:rsidRDefault="006F63B5" w:rsidP="00BD2F10">
                  <w:pPr>
                    <w:rPr>
                      <w:rFonts w:cs="Tahoma"/>
                      <w:sz w:val="18"/>
                      <w:szCs w:val="18"/>
                      <w:lang w:val="mk-MK"/>
                    </w:rPr>
                  </w:pPr>
                  <w:r>
                    <w:rPr>
                      <w:noProof/>
                      <w:szCs w:val="18"/>
                    </w:rPr>
                    <w:drawing>
                      <wp:inline distT="0" distB="0" distL="0" distR="0">
                        <wp:extent cx="29210" cy="29210"/>
                        <wp:effectExtent l="19050" t="0" r="889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srcRect/>
                                <a:stretch>
                                  <a:fillRect/>
                                </a:stretch>
                              </pic:blipFill>
                              <pic:spPr bwMode="auto">
                                <a:xfrm>
                                  <a:off x="0" y="0"/>
                                  <a:ext cx="29210" cy="29210"/>
                                </a:xfrm>
                                <a:prstGeom prst="rect">
                                  <a:avLst/>
                                </a:prstGeom>
                                <a:noFill/>
                                <a:ln w="9525">
                                  <a:noFill/>
                                  <a:miter lim="800000"/>
                                  <a:headEnd/>
                                  <a:tailEnd/>
                                </a:ln>
                              </pic:spPr>
                            </pic:pic>
                          </a:graphicData>
                        </a:graphic>
                      </wp:inline>
                    </w:drawing>
                  </w:r>
                </w:p>
                <w:p w:rsidR="006F63B5" w:rsidRPr="003978DD" w:rsidRDefault="006F63B5" w:rsidP="00BD2F10">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F63B5" w:rsidRPr="00854D9B" w:rsidRDefault="006F63B5" w:rsidP="00BD2F10">
                  <w:pPr>
                    <w:rPr>
                      <w:lang w:val="mk-MK"/>
                    </w:rPr>
                  </w:pPr>
                </w:p>
              </w:txbxContent>
            </v:textbox>
          </v:shape>
        </w:pict>
      </w:r>
      <w:r w:rsidR="00BD2F10" w:rsidRPr="00B63768">
        <w:t>Движење на каматните стапки и каматниот распон</w:t>
      </w:r>
      <w:bookmarkEnd w:id="214"/>
      <w:bookmarkEnd w:id="215"/>
      <w:r w:rsidR="00BD2F10" w:rsidRPr="00B63768">
        <w:t xml:space="preserve"> </w:t>
      </w:r>
      <w:bookmarkEnd w:id="216"/>
      <w:bookmarkEnd w:id="217"/>
      <w:bookmarkEnd w:id="218"/>
      <w:bookmarkEnd w:id="219"/>
    </w:p>
    <w:p w:rsidR="00BD2F10" w:rsidRPr="00B63768" w:rsidRDefault="00BD2F10" w:rsidP="00BD2F10">
      <w:pPr>
        <w:ind w:firstLine="540"/>
        <w:rPr>
          <w:rFonts w:cs="Tahoma"/>
          <w:highlight w:val="yellow"/>
          <w:lang w:val="mk-MK"/>
        </w:rPr>
      </w:pPr>
    </w:p>
    <w:p w:rsidR="00BD2F10" w:rsidRPr="00B63768" w:rsidRDefault="00BD2F10" w:rsidP="00BD2F10">
      <w:pPr>
        <w:ind w:firstLine="540"/>
        <w:rPr>
          <w:rFonts w:cs="Tahoma"/>
          <w:lang w:val="mk-MK"/>
        </w:rPr>
      </w:pPr>
      <w:r w:rsidRPr="00B63768">
        <w:rPr>
          <w:rFonts w:cs="Tahoma"/>
          <w:lang w:val="mk-MK"/>
        </w:rPr>
        <w:t xml:space="preserve">Трендот на постепено намалување на активните и пасивните каматни стапки, продолжи и во текот на првото тримесечје на 2013 година, во услови на намалување на основната каматна стапка на Народната банка и на </w:t>
      </w:r>
      <w:r w:rsidR="00C403E3" w:rsidRPr="00B63768">
        <w:rPr>
          <w:rFonts w:cs="Tahoma"/>
          <w:lang w:val="mk-MK"/>
        </w:rPr>
        <w:t>ЕУРИБОР</w:t>
      </w:r>
      <w:r w:rsidRPr="00B63768">
        <w:rPr>
          <w:rFonts w:cs="Tahoma"/>
          <w:lang w:val="mk-MK"/>
        </w:rPr>
        <w:t xml:space="preserve">. Најголемо намалување на каматните стапки е забележано кај денарските кредити и депозити. </w:t>
      </w:r>
    </w:p>
    <w:p w:rsidR="007D5A0D" w:rsidRPr="00B63768" w:rsidRDefault="007D5A0D" w:rsidP="00BD2F10">
      <w:pPr>
        <w:ind w:firstLine="540"/>
        <w:rPr>
          <w:rFonts w:cs="Tahoma"/>
          <w:lang w:val="mk-MK"/>
        </w:rPr>
      </w:pPr>
    </w:p>
    <w:p w:rsidR="007D5A0D" w:rsidRPr="00B63768" w:rsidRDefault="007D5A0D" w:rsidP="00BD2F10">
      <w:pPr>
        <w:ind w:firstLine="540"/>
        <w:rPr>
          <w:rFonts w:cs="Tahoma"/>
          <w:lang w:val="mk-MK"/>
        </w:rPr>
      </w:pPr>
    </w:p>
    <w:p w:rsidR="007D5A0D" w:rsidRPr="00B63768" w:rsidRDefault="007D5A0D" w:rsidP="00BD2F10">
      <w:pPr>
        <w:ind w:firstLine="540"/>
        <w:rPr>
          <w:rFonts w:cs="Tahoma"/>
          <w:lang w:val="mk-MK"/>
        </w:rPr>
      </w:pPr>
    </w:p>
    <w:p w:rsidR="007D5A0D" w:rsidRPr="00B63768" w:rsidRDefault="007D5A0D" w:rsidP="00BD2F10">
      <w:pPr>
        <w:ind w:firstLine="540"/>
        <w:rPr>
          <w:rFonts w:cs="Tahoma"/>
          <w:lang w:val="mk-MK"/>
        </w:rPr>
      </w:pPr>
    </w:p>
    <w:p w:rsidR="00BD2F10" w:rsidRPr="00B63768" w:rsidRDefault="00BD2F10" w:rsidP="00BD2F10">
      <w:pPr>
        <w:ind w:firstLine="540"/>
        <w:rPr>
          <w:rFonts w:cs="Tahoma"/>
          <w:highlight w:val="yellow"/>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AC731B" w:rsidRPr="00B63768" w:rsidRDefault="00AC731B" w:rsidP="00BD2F10">
      <w:pPr>
        <w:ind w:firstLine="540"/>
        <w:rPr>
          <w:rFonts w:cs="Tahoma"/>
          <w:lang w:val="mk-MK"/>
        </w:rPr>
      </w:pPr>
    </w:p>
    <w:p w:rsidR="00BD2F10" w:rsidRPr="00B63768" w:rsidRDefault="00040D2C" w:rsidP="00BD2F10">
      <w:pPr>
        <w:ind w:firstLine="540"/>
        <w:rPr>
          <w:rFonts w:cs="Tahoma"/>
          <w:highlight w:val="yellow"/>
          <w:lang w:val="mk-MK"/>
        </w:rPr>
      </w:pPr>
      <w:r w:rsidRPr="00040D2C">
        <w:rPr>
          <w:rFonts w:cs="Tahoma"/>
          <w:lang w:val="mk-MK"/>
        </w:rPr>
        <w:pict>
          <v:shape id="_x0000_s1132" type="#_x0000_t202" style="position:absolute;left:0;text-align:left;margin-left:-226.85pt;margin-top:21.05pt;width:216.25pt;height:277.95pt;z-index:251756544">
            <v:textbox style="mso-next-textbox:#_x0000_s1132">
              <w:txbxContent>
                <w:p w:rsidR="006F63B5" w:rsidRPr="00BE17DD" w:rsidRDefault="006F63B5" w:rsidP="00BD2F10">
                  <w:pPr>
                    <w:pStyle w:val="Caption"/>
                    <w:rPr>
                      <w:szCs w:val="20"/>
                      <w:lang w:val="mk-MK"/>
                    </w:rPr>
                  </w:pPr>
                  <w:bookmarkStart w:id="221" w:name="_Ref303169884"/>
                  <w:bookmarkStart w:id="222" w:name="_Toc305070603"/>
                  <w:bookmarkStart w:id="223" w:name="_Toc309995891"/>
                  <w:bookmarkStart w:id="224" w:name="_Toc355095882"/>
                  <w:r>
                    <w:t xml:space="preserve">Графикон бр. </w:t>
                  </w:r>
                  <w:fldSimple w:instr=" SEQ Графикон_бр. \* ARABIC ">
                    <w:r>
                      <w:rPr>
                        <w:noProof/>
                      </w:rPr>
                      <w:t>70</w:t>
                    </w:r>
                  </w:fldSimple>
                  <w:r>
                    <w:t xml:space="preserve"> </w:t>
                  </w:r>
                  <w:bookmarkEnd w:id="221"/>
                  <w:r w:rsidRPr="002F5FE0">
                    <w:rPr>
                      <w:szCs w:val="20"/>
                      <w:lang w:val="mk-MK"/>
                    </w:rPr>
                    <w:t>Каматен распон</w:t>
                  </w:r>
                  <w:bookmarkEnd w:id="222"/>
                  <w:bookmarkEnd w:id="223"/>
                  <w:r>
                    <w:rPr>
                      <w:szCs w:val="20"/>
                      <w:lang w:val="mk-MK"/>
                    </w:rPr>
                    <w:t>, по валута</w:t>
                  </w:r>
                  <w:bookmarkEnd w:id="224"/>
                  <w:r w:rsidRPr="00BE17DD">
                    <w:rPr>
                      <w:szCs w:val="20"/>
                      <w:lang w:val="mk-MK"/>
                    </w:rPr>
                    <w:t xml:space="preserve"> </w:t>
                  </w:r>
                </w:p>
                <w:p w:rsidR="006F63B5" w:rsidRDefault="006F63B5" w:rsidP="00BD2F10">
                  <w:pPr>
                    <w:rPr>
                      <w:rFonts w:cs="Tahoma"/>
                      <w:sz w:val="18"/>
                      <w:szCs w:val="18"/>
                    </w:rPr>
                  </w:pPr>
                  <w:r w:rsidRPr="00910776">
                    <w:rPr>
                      <w:noProof/>
                      <w:szCs w:val="18"/>
                    </w:rPr>
                    <w:drawing>
                      <wp:inline distT="0" distB="0" distL="0" distR="0">
                        <wp:extent cx="2557171" cy="2353586"/>
                        <wp:effectExtent l="1905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srcRect/>
                                <a:stretch>
                                  <a:fillRect/>
                                </a:stretch>
                              </pic:blipFill>
                              <pic:spPr bwMode="auto">
                                <a:xfrm>
                                  <a:off x="0" y="0"/>
                                  <a:ext cx="2559966" cy="2356158"/>
                                </a:xfrm>
                                <a:prstGeom prst="rect">
                                  <a:avLst/>
                                </a:prstGeom>
                                <a:noFill/>
                                <a:ln w="9525">
                                  <a:noFill/>
                                  <a:miter lim="800000"/>
                                  <a:headEnd/>
                                  <a:tailEnd/>
                                </a:ln>
                              </pic:spPr>
                            </pic:pic>
                          </a:graphicData>
                        </a:graphic>
                      </wp:inline>
                    </w:drawing>
                  </w:r>
                </w:p>
                <w:p w:rsidR="006F63B5" w:rsidRPr="00985C6F" w:rsidRDefault="006F63B5" w:rsidP="00BD2F10">
                  <w:pPr>
                    <w:rPr>
                      <w:rFonts w:cs="Tahoma"/>
                      <w:sz w:val="18"/>
                      <w:szCs w:val="18"/>
                      <w:lang w:val="mk-MK"/>
                    </w:rPr>
                  </w:pPr>
                  <w:r w:rsidRPr="00985C6F">
                    <w:rPr>
                      <w:rFonts w:cs="Tahoma"/>
                      <w:sz w:val="18"/>
                      <w:szCs w:val="18"/>
                      <w:lang w:val="mk-MK"/>
                    </w:rPr>
                    <w:t>Во пресметките не се опфатени кредитите врз основа на негативни са</w:t>
                  </w:r>
                  <w:r>
                    <w:rPr>
                      <w:rFonts w:cs="Tahoma"/>
                      <w:sz w:val="18"/>
                      <w:szCs w:val="18"/>
                      <w:lang w:val="mk-MK"/>
                    </w:rPr>
                    <w:t>л</w:t>
                  </w:r>
                  <w:r w:rsidRPr="00985C6F">
                    <w:rPr>
                      <w:rFonts w:cs="Tahoma"/>
                      <w:sz w:val="18"/>
                      <w:szCs w:val="18"/>
                      <w:lang w:val="mk-MK"/>
                    </w:rPr>
                    <w:t>да и кредитни картички.</w:t>
                  </w:r>
                </w:p>
                <w:p w:rsidR="006F63B5" w:rsidRPr="00985C6F" w:rsidRDefault="006F63B5" w:rsidP="00BD2F10">
                  <w:pPr>
                    <w:rPr>
                      <w:rFonts w:cs="Tahoma"/>
                      <w:sz w:val="18"/>
                      <w:szCs w:val="18"/>
                      <w:lang w:val="mk-MK"/>
                    </w:rPr>
                  </w:pPr>
                  <w:r w:rsidRPr="00985C6F">
                    <w:rPr>
                      <w:rFonts w:cs="Tahoma"/>
                      <w:sz w:val="18"/>
                      <w:szCs w:val="18"/>
                      <w:lang w:val="mk-MK"/>
                    </w:rPr>
                    <w:t>Извор: Народната банка, врз основа на податоците доставени од страна на банките.</w:t>
                  </w:r>
                </w:p>
                <w:p w:rsidR="006F63B5" w:rsidRPr="003A3FDD" w:rsidRDefault="006F63B5" w:rsidP="00BD2F10">
                  <w:pPr>
                    <w:rPr>
                      <w:lang w:val="mk-MK"/>
                    </w:rPr>
                  </w:pPr>
                </w:p>
              </w:txbxContent>
            </v:textbox>
          </v:shape>
        </w:pict>
      </w:r>
      <w:r w:rsidR="00BD2F10" w:rsidRPr="00B63768">
        <w:rPr>
          <w:rFonts w:cs="Tahoma"/>
          <w:lang w:val="mk-MK"/>
        </w:rPr>
        <w:t>Како резултат на позасиленото намалување на пасивните во однос на активните денарски каматни стапки, дојде до зголемување на каматни</w:t>
      </w:r>
      <w:r w:rsidR="00AC731B" w:rsidRPr="00B63768">
        <w:rPr>
          <w:rFonts w:cs="Tahoma"/>
          <w:lang w:val="mk-MK"/>
        </w:rPr>
        <w:t>о</w:t>
      </w:r>
      <w:r w:rsidR="00BD2F10" w:rsidRPr="00B63768">
        <w:rPr>
          <w:rFonts w:cs="Tahoma"/>
          <w:lang w:val="mk-MK"/>
        </w:rPr>
        <w:t>т распон помеѓу каматите на кредитите и депозитите во денари, додека каматниот распон помеѓу каматите на кредитите и депозитите во денари со девизна клаузула се намали. Каматниот распон меѓу девизните каматни стапки е непроменет. Во согласност со ваквите промени на каматните распони, во март 2013 година дојде до доближување на каматните распони, и тоа најмногу на тие во девизи и денари со девизна клаузула.</w:t>
      </w:r>
      <w:r w:rsidR="00BD2F10" w:rsidRPr="00B63768">
        <w:rPr>
          <w:rFonts w:cs="Tahoma"/>
          <w:highlight w:val="yellow"/>
          <w:lang w:val="mk-MK"/>
        </w:rPr>
        <w:t xml:space="preserve"> </w:t>
      </w:r>
    </w:p>
    <w:p w:rsidR="00EE6B2F" w:rsidRPr="00B63768" w:rsidRDefault="00EE6B2F" w:rsidP="00BD2F10">
      <w:pPr>
        <w:ind w:firstLine="540"/>
        <w:rPr>
          <w:rFonts w:cs="Tahoma"/>
          <w:highlight w:val="yellow"/>
          <w:lang w:val="mk-MK"/>
        </w:rPr>
      </w:pPr>
    </w:p>
    <w:p w:rsidR="00AC731B" w:rsidRPr="00B63768" w:rsidRDefault="00AC731B" w:rsidP="00BD2F10">
      <w:pPr>
        <w:ind w:firstLine="540"/>
        <w:rPr>
          <w:rFonts w:cs="Tahoma"/>
          <w:highlight w:val="yellow"/>
          <w:lang w:val="mk-MK"/>
        </w:rPr>
      </w:pPr>
    </w:p>
    <w:p w:rsidR="00AC731B" w:rsidRPr="00B63768" w:rsidRDefault="00AC731B" w:rsidP="00BD2F10">
      <w:pPr>
        <w:ind w:firstLine="540"/>
        <w:rPr>
          <w:rFonts w:cs="Tahoma"/>
          <w:highlight w:val="yellow"/>
          <w:lang w:val="mk-MK"/>
        </w:rPr>
      </w:pPr>
    </w:p>
    <w:p w:rsidR="00AC731B" w:rsidRPr="00B63768" w:rsidRDefault="00AC731B" w:rsidP="00BD2F10">
      <w:pPr>
        <w:ind w:firstLine="540"/>
        <w:rPr>
          <w:rFonts w:cs="Tahoma"/>
          <w:highlight w:val="yellow"/>
          <w:lang w:val="mk-MK"/>
        </w:rPr>
      </w:pPr>
    </w:p>
    <w:p w:rsidR="00AC731B" w:rsidRPr="00B63768" w:rsidRDefault="00AC731B" w:rsidP="00BD2F10">
      <w:pPr>
        <w:ind w:firstLine="540"/>
        <w:rPr>
          <w:rFonts w:cs="Tahoma"/>
          <w:highlight w:val="yellow"/>
          <w:lang w:val="mk-MK"/>
        </w:rPr>
      </w:pPr>
    </w:p>
    <w:p w:rsidR="00AC731B" w:rsidRPr="00B63768" w:rsidRDefault="00AC731B" w:rsidP="00BD2F10">
      <w:pPr>
        <w:ind w:firstLine="540"/>
        <w:rPr>
          <w:rFonts w:cs="Tahoma"/>
          <w:highlight w:val="yellow"/>
          <w:lang w:val="mk-MK"/>
        </w:rPr>
      </w:pPr>
    </w:p>
    <w:p w:rsidR="00AC731B" w:rsidRPr="00B63768" w:rsidRDefault="00AC731B" w:rsidP="00BD2F10">
      <w:pPr>
        <w:ind w:firstLine="540"/>
        <w:rPr>
          <w:rFonts w:cs="Tahoma"/>
          <w:highlight w:val="yellow"/>
          <w:lang w:val="mk-MK"/>
        </w:rPr>
      </w:pPr>
    </w:p>
    <w:p w:rsidR="00BD2F10" w:rsidRPr="00B63768" w:rsidRDefault="00BD2F10" w:rsidP="003B2315">
      <w:pPr>
        <w:pStyle w:val="Heading3"/>
      </w:pPr>
      <w:bookmarkStart w:id="225" w:name="_Toc303173390"/>
      <w:bookmarkStart w:id="226" w:name="_Toc309974309"/>
      <w:bookmarkStart w:id="227" w:name="_Toc354057748"/>
      <w:bookmarkStart w:id="228" w:name="_Toc362007072"/>
      <w:r w:rsidRPr="00B63768">
        <w:lastRenderedPageBreak/>
        <w:t>Показатели за профитабилноста и ефикасноста на банките</w:t>
      </w:r>
      <w:bookmarkEnd w:id="225"/>
      <w:bookmarkEnd w:id="226"/>
      <w:bookmarkEnd w:id="227"/>
      <w:bookmarkEnd w:id="228"/>
    </w:p>
    <w:p w:rsidR="00EE6B2F" w:rsidRPr="00B63768" w:rsidRDefault="00EE6B2F" w:rsidP="00BD2F10">
      <w:pPr>
        <w:ind w:firstLine="720"/>
        <w:rPr>
          <w:rFonts w:cs="Tahoma"/>
          <w:lang w:val="mk-MK"/>
        </w:rPr>
      </w:pPr>
    </w:p>
    <w:p w:rsidR="00BD2F10" w:rsidRPr="00B63768" w:rsidRDefault="00BD2F10" w:rsidP="00BD2F10">
      <w:pPr>
        <w:pStyle w:val="Default"/>
        <w:ind w:firstLine="720"/>
        <w:jc w:val="both"/>
        <w:rPr>
          <w:sz w:val="22"/>
          <w:szCs w:val="22"/>
          <w:lang w:val="mk-MK"/>
        </w:rPr>
      </w:pPr>
      <w:r w:rsidRPr="00B63768">
        <w:rPr>
          <w:sz w:val="22"/>
          <w:szCs w:val="22"/>
          <w:lang w:val="mk-MK"/>
        </w:rPr>
        <w:t>Намалената загуба на банките в</w:t>
      </w:r>
      <w:r w:rsidR="00D22DB7" w:rsidRPr="00B63768">
        <w:rPr>
          <w:sz w:val="22"/>
          <w:szCs w:val="22"/>
          <w:lang w:val="mk-MK"/>
        </w:rPr>
        <w:t>о првиот квартал од 201</w:t>
      </w:r>
      <w:r w:rsidRPr="00B63768">
        <w:rPr>
          <w:sz w:val="22"/>
          <w:szCs w:val="22"/>
          <w:lang w:val="mk-MK"/>
        </w:rPr>
        <w:t>3</w:t>
      </w:r>
      <w:r w:rsidR="00D22DB7" w:rsidRPr="00B63768">
        <w:rPr>
          <w:sz w:val="22"/>
          <w:szCs w:val="22"/>
          <w:lang w:val="mk-MK"/>
        </w:rPr>
        <w:t xml:space="preserve"> година</w:t>
      </w:r>
      <w:r w:rsidRPr="00B63768">
        <w:rPr>
          <w:sz w:val="22"/>
          <w:szCs w:val="22"/>
          <w:lang w:val="mk-MK"/>
        </w:rPr>
        <w:t xml:space="preserve"> услови да се стеснат</w:t>
      </w:r>
      <w:r w:rsidR="00D22DB7" w:rsidRPr="00B63768">
        <w:rPr>
          <w:sz w:val="22"/>
          <w:szCs w:val="22"/>
          <w:lang w:val="mk-MK"/>
        </w:rPr>
        <w:t xml:space="preserve"> негативните вредности на </w:t>
      </w:r>
      <w:r w:rsidR="00D22DB7" w:rsidRPr="00B63768">
        <w:rPr>
          <w:b/>
          <w:bCs/>
          <w:sz w:val="22"/>
          <w:szCs w:val="22"/>
          <w:lang w:val="mk-MK"/>
        </w:rPr>
        <w:t xml:space="preserve">стапките на поврат на активата (РОАА) и на капиталот (РОАЕ). </w:t>
      </w:r>
      <w:r w:rsidRPr="00B63768">
        <w:rPr>
          <w:bCs/>
          <w:sz w:val="22"/>
          <w:szCs w:val="22"/>
          <w:lang w:val="mk-MK"/>
        </w:rPr>
        <w:t>Иако</w:t>
      </w:r>
      <w:r w:rsidR="00C403E3">
        <w:rPr>
          <w:bCs/>
          <w:sz w:val="22"/>
          <w:szCs w:val="22"/>
          <w:lang w:val="mk-MK"/>
        </w:rPr>
        <w:t xml:space="preserve"> е</w:t>
      </w:r>
      <w:r w:rsidRPr="00B63768">
        <w:rPr>
          <w:bCs/>
          <w:sz w:val="22"/>
          <w:szCs w:val="22"/>
          <w:lang w:val="mk-MK"/>
        </w:rPr>
        <w:t xml:space="preserve"> сѐ уште негативна, подобрување </w:t>
      </w:r>
      <w:r w:rsidR="00D22DB7" w:rsidRPr="00B63768">
        <w:rPr>
          <w:sz w:val="22"/>
          <w:szCs w:val="22"/>
          <w:lang w:val="mk-MK"/>
        </w:rPr>
        <w:t>се забележува и кај профитната маргина</w:t>
      </w:r>
      <w:r w:rsidRPr="00B63768">
        <w:rPr>
          <w:rFonts w:cs="Times New Roman"/>
          <w:color w:val="auto"/>
          <w:sz w:val="22"/>
          <w:szCs w:val="22"/>
          <w:vertAlign w:val="superscript"/>
          <w:lang w:val="mk-MK" w:eastAsia="en-US"/>
        </w:rPr>
        <w:t xml:space="preserve"> </w:t>
      </w:r>
      <w:r w:rsidRPr="00B63768">
        <w:rPr>
          <w:rFonts w:cs="Times New Roman"/>
          <w:color w:val="auto"/>
          <w:sz w:val="22"/>
          <w:szCs w:val="22"/>
          <w:vertAlign w:val="superscript"/>
          <w:lang w:val="mk-MK" w:eastAsia="en-US"/>
        </w:rPr>
        <w:footnoteReference w:id="60"/>
      </w:r>
      <w:r w:rsidR="00D22DB7" w:rsidRPr="00B63768">
        <w:rPr>
          <w:sz w:val="14"/>
          <w:szCs w:val="14"/>
          <w:lang w:val="mk-MK"/>
        </w:rPr>
        <w:t xml:space="preserve"> </w:t>
      </w:r>
      <w:r w:rsidR="00D22DB7" w:rsidRPr="00B63768">
        <w:rPr>
          <w:sz w:val="22"/>
          <w:szCs w:val="22"/>
          <w:lang w:val="mk-MK"/>
        </w:rPr>
        <w:t xml:space="preserve">на банкарскиот сектор. </w:t>
      </w:r>
    </w:p>
    <w:p w:rsidR="00BD2F10" w:rsidRPr="00B63768" w:rsidRDefault="00BD2F10" w:rsidP="00BD2F10">
      <w:pPr>
        <w:autoSpaceDE w:val="0"/>
        <w:autoSpaceDN w:val="0"/>
        <w:adjustRightInd w:val="0"/>
        <w:ind w:firstLine="720"/>
        <w:rPr>
          <w:rFonts w:cs="Tahoma"/>
          <w:bCs/>
          <w:highlight w:val="yellow"/>
          <w:lang w:val="mk-MK"/>
        </w:rPr>
      </w:pPr>
      <w:r w:rsidRPr="00B63768">
        <w:rPr>
          <w:rFonts w:cs="Tahoma"/>
          <w:bCs/>
          <w:highlight w:val="yellow"/>
          <w:lang w:val="mk-MK"/>
        </w:rPr>
        <w:t xml:space="preserve"> </w:t>
      </w:r>
      <w:r w:rsidRPr="00B63768">
        <w:rPr>
          <w:rFonts w:cs="Tahoma"/>
          <w:b/>
          <w:bCs/>
          <w:highlight w:val="yellow"/>
          <w:lang w:val="mk-MK"/>
        </w:rPr>
        <w:t xml:space="preserve">  </w:t>
      </w:r>
    </w:p>
    <w:p w:rsidR="00BD2F10" w:rsidRPr="00B63768" w:rsidRDefault="00040D2C" w:rsidP="00BD2F10">
      <w:pPr>
        <w:autoSpaceDE w:val="0"/>
        <w:autoSpaceDN w:val="0"/>
        <w:adjustRightInd w:val="0"/>
        <w:ind w:firstLine="720"/>
        <w:rPr>
          <w:rFonts w:cs="Tahoma"/>
          <w:bCs/>
          <w:lang w:val="mk-MK"/>
        </w:rPr>
      </w:pPr>
      <w:r w:rsidRPr="00040D2C">
        <w:rPr>
          <w:sz w:val="24"/>
          <w:szCs w:val="24"/>
          <w:highlight w:val="yellow"/>
          <w:lang w:val="mk-MK" w:eastAsia="mk-MK"/>
        </w:rPr>
        <w:pict>
          <v:shape id="_x0000_s1128" type="#_x0000_t202" style="position:absolute;left:0;text-align:left;margin-left:-221.7pt;margin-top:114.8pt;width:466.85pt;height:183.6pt;z-index:251752448">
            <v:textbox style="mso-next-textbox:#_x0000_s1128">
              <w:txbxContent>
                <w:p w:rsidR="006F63B5" w:rsidRDefault="006F63B5" w:rsidP="00BD2F10">
                  <w:pPr>
                    <w:pStyle w:val="Caption"/>
                    <w:rPr>
                      <w:noProof/>
                      <w:lang w:val="mk-MK"/>
                    </w:rPr>
                  </w:pPr>
                  <w:bookmarkStart w:id="229" w:name="_Toc354058683"/>
                  <w:bookmarkStart w:id="230" w:name="_Toc299102945"/>
                  <w:bookmarkStart w:id="231" w:name="_Toc309727018"/>
                  <w:r>
                    <w:t xml:space="preserve">Табела бр.  </w:t>
                  </w:r>
                  <w:fldSimple w:instr=" SEQ Табела_бр._ \* ARABIC ">
                    <w:r>
                      <w:rPr>
                        <w:noProof/>
                      </w:rPr>
                      <w:t>9</w:t>
                    </w:r>
                  </w:fldSimple>
                  <w:r>
                    <w:t xml:space="preserve"> </w:t>
                  </w:r>
                  <w:r w:rsidRPr="00B9362B">
                    <w:rPr>
                      <w:szCs w:val="20"/>
                      <w:lang w:val="mk-MK"/>
                    </w:rPr>
                    <w:t>Показатели за профитабилноста и ефикасноста во работењето</w:t>
                  </w:r>
                  <w:bookmarkEnd w:id="229"/>
                  <w:r w:rsidRPr="00B9362B">
                    <w:rPr>
                      <w:szCs w:val="20"/>
                      <w:lang w:val="mk-MK"/>
                    </w:rPr>
                    <w:t xml:space="preserve"> на банк</w:t>
                  </w:r>
                  <w:bookmarkEnd w:id="230"/>
                  <w:bookmarkEnd w:id="231"/>
                  <w:r w:rsidRPr="00B9362B">
                    <w:rPr>
                      <w:szCs w:val="20"/>
                      <w:lang w:val="mk-MK"/>
                    </w:rPr>
                    <w:t>арскиот систем</w:t>
                  </w:r>
                </w:p>
                <w:p w:rsidR="006F63B5" w:rsidRPr="001C1E0D" w:rsidRDefault="006F63B5" w:rsidP="00BD2F10">
                  <w:pPr>
                    <w:rPr>
                      <w:lang w:val="mk-MK"/>
                    </w:rPr>
                  </w:pPr>
                  <w:r w:rsidRPr="0036058B">
                    <w:rPr>
                      <w:noProof/>
                    </w:rPr>
                    <w:drawing>
                      <wp:inline distT="0" distB="0" distL="0" distR="0">
                        <wp:extent cx="5733010" cy="1725434"/>
                        <wp:effectExtent l="19050" t="0" r="1040"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5736590" cy="1726511"/>
                                </a:xfrm>
                                <a:prstGeom prst="rect">
                                  <a:avLst/>
                                </a:prstGeom>
                                <a:noFill/>
                                <a:ln w="9525">
                                  <a:noFill/>
                                  <a:miter lim="800000"/>
                                  <a:headEnd/>
                                  <a:tailEnd/>
                                </a:ln>
                              </pic:spPr>
                            </pic:pic>
                          </a:graphicData>
                        </a:graphic>
                      </wp:inline>
                    </w:drawing>
                  </w:r>
                </w:p>
                <w:p w:rsidR="006F63B5" w:rsidRPr="00303B89" w:rsidRDefault="006F63B5" w:rsidP="00BD2F10">
                  <w:pPr>
                    <w:rPr>
                      <w:lang w:val="mk-MK"/>
                    </w:rPr>
                  </w:pPr>
                  <w:r>
                    <w:rPr>
                      <w:rFonts w:cs="Tahoma"/>
                      <w:sz w:val="18"/>
                      <w:szCs w:val="18"/>
                      <w:lang w:val="mk-MK"/>
                    </w:rPr>
                    <w:t xml:space="preserve">Извор: </w:t>
                  </w:r>
                  <w:r w:rsidRPr="003978DD">
                    <w:rPr>
                      <w:rFonts w:cs="Tahoma"/>
                      <w:sz w:val="18"/>
                      <w:szCs w:val="18"/>
                      <w:lang w:val="mk-MK"/>
                    </w:rPr>
                    <w:t>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w10:wrap type="square"/>
          </v:shape>
        </w:pict>
      </w:r>
      <w:r w:rsidR="00BB44CA" w:rsidRPr="00B63768">
        <w:rPr>
          <w:lang w:val="mk-MK"/>
        </w:rPr>
        <w:t>З</w:t>
      </w:r>
      <w:r w:rsidR="00BD2F10" w:rsidRPr="00B63768">
        <w:rPr>
          <w:lang w:val="mk-MK"/>
        </w:rPr>
        <w:t xml:space="preserve">а покривање на исправката на вредноста </w:t>
      </w:r>
      <w:r w:rsidR="00BB44CA" w:rsidRPr="00B63768">
        <w:rPr>
          <w:lang w:val="mk-MK"/>
        </w:rPr>
        <w:t>за финансиски</w:t>
      </w:r>
      <w:r w:rsidR="00C403E3">
        <w:rPr>
          <w:lang w:val="mk-MK"/>
        </w:rPr>
        <w:t>те</w:t>
      </w:r>
      <w:r w:rsidR="00BB44CA" w:rsidRPr="00B63768">
        <w:rPr>
          <w:lang w:val="mk-MK"/>
        </w:rPr>
        <w:t xml:space="preserve"> и нефинансиски</w:t>
      </w:r>
      <w:r w:rsidR="00C403E3">
        <w:rPr>
          <w:lang w:val="mk-MK"/>
        </w:rPr>
        <w:t>те</w:t>
      </w:r>
      <w:r w:rsidR="00BB44CA" w:rsidRPr="00B63768">
        <w:rPr>
          <w:lang w:val="mk-MK"/>
        </w:rPr>
        <w:t xml:space="preserve"> средства</w:t>
      </w:r>
      <w:r w:rsidR="00BD2F10" w:rsidRPr="00B63768">
        <w:rPr>
          <w:lang w:val="mk-MK"/>
        </w:rPr>
        <w:t xml:space="preserve"> се трошат 60,7% од нето каматниот приход, што е нешто помалку во споредба со претходната година. Подобрување на овој показател се забележува кај групата големи и средни банки, додека кај групата мали банки има влошување. </w:t>
      </w:r>
    </w:p>
    <w:p w:rsidR="00BD2F10" w:rsidRPr="00B63768" w:rsidRDefault="00BD2F10" w:rsidP="00BD2F10">
      <w:pPr>
        <w:autoSpaceDE w:val="0"/>
        <w:autoSpaceDN w:val="0"/>
        <w:adjustRightInd w:val="0"/>
        <w:ind w:firstLine="720"/>
        <w:rPr>
          <w:rFonts w:cs="Tahoma"/>
          <w:bCs/>
          <w:lang w:val="mk-MK"/>
        </w:rPr>
      </w:pPr>
    </w:p>
    <w:p w:rsidR="00BF7D49" w:rsidRPr="00B63768" w:rsidRDefault="00BD2F10" w:rsidP="00BD2F10">
      <w:pPr>
        <w:autoSpaceDE w:val="0"/>
        <w:autoSpaceDN w:val="0"/>
        <w:adjustRightInd w:val="0"/>
        <w:ind w:firstLine="720"/>
        <w:rPr>
          <w:lang w:val="mk-MK"/>
        </w:rPr>
      </w:pPr>
      <w:r w:rsidRPr="00B63768">
        <w:rPr>
          <w:lang w:val="mk-MK"/>
        </w:rPr>
        <w:t>Подобрување има и к</w:t>
      </w:r>
      <w:r w:rsidR="00D22DB7" w:rsidRPr="00B63768">
        <w:rPr>
          <w:lang w:val="mk-MK"/>
        </w:rPr>
        <w:t xml:space="preserve">ај оперативната ефикасност, со исклучок кај групата </w:t>
      </w:r>
      <w:r w:rsidRPr="00B63768">
        <w:rPr>
          <w:lang w:val="mk-MK"/>
        </w:rPr>
        <w:t xml:space="preserve">средни </w:t>
      </w:r>
      <w:r w:rsidR="00D22DB7" w:rsidRPr="00B63768">
        <w:rPr>
          <w:lang w:val="mk-MK"/>
        </w:rPr>
        <w:t xml:space="preserve">банки (анекс бр. </w:t>
      </w:r>
      <w:r w:rsidR="004812D5" w:rsidRPr="00B63768">
        <w:rPr>
          <w:lang w:val="mk-MK"/>
        </w:rPr>
        <w:t>35</w:t>
      </w:r>
      <w:r w:rsidR="00D22DB7" w:rsidRPr="00B63768">
        <w:rPr>
          <w:lang w:val="mk-MK"/>
        </w:rPr>
        <w:t xml:space="preserve">). </w:t>
      </w:r>
      <w:r w:rsidRPr="00B63768">
        <w:rPr>
          <w:lang w:val="mk-MK"/>
        </w:rPr>
        <w:t>И</w:t>
      </w:r>
      <w:r w:rsidR="00D22DB7" w:rsidRPr="00B63768">
        <w:rPr>
          <w:lang w:val="mk-MK"/>
        </w:rPr>
        <w:t xml:space="preserve"> останатите показатели за соодносот помеѓу одделните видови трошоци и вкупните редовни приходи бележат подобрување во споредба со истиот период од претходната година</w:t>
      </w:r>
      <w:r w:rsidR="00BB44CA" w:rsidRPr="00B63768">
        <w:rPr>
          <w:lang w:val="mk-MK"/>
        </w:rPr>
        <w:t xml:space="preserve">, а каматната маргина </w:t>
      </w:r>
      <w:r w:rsidR="00C403E3">
        <w:rPr>
          <w:lang w:val="mk-MK"/>
        </w:rPr>
        <w:t>е</w:t>
      </w:r>
      <w:r w:rsidR="00C403E3" w:rsidRPr="00B63768">
        <w:rPr>
          <w:lang w:val="mk-MK"/>
        </w:rPr>
        <w:t xml:space="preserve"> </w:t>
      </w:r>
      <w:r w:rsidR="00BB44CA" w:rsidRPr="00B63768">
        <w:rPr>
          <w:lang w:val="mk-MK"/>
        </w:rPr>
        <w:t>непроменета</w:t>
      </w:r>
      <w:r w:rsidR="00D22DB7" w:rsidRPr="00B63768">
        <w:rPr>
          <w:lang w:val="mk-MK"/>
        </w:rPr>
        <w:t>.</w:t>
      </w:r>
    </w:p>
    <w:p w:rsidR="00BF7D49" w:rsidRPr="00B63768" w:rsidRDefault="00BF7D49" w:rsidP="00FC5FB1">
      <w:pPr>
        <w:rPr>
          <w:lang w:val="mk-MK"/>
        </w:rPr>
      </w:pPr>
    </w:p>
    <w:p w:rsidR="00EE6B2F" w:rsidRPr="00B63768" w:rsidRDefault="00EE6B2F" w:rsidP="00FC5FB1">
      <w:pPr>
        <w:rPr>
          <w:rFonts w:eastAsiaTheme="majorEastAsia" w:cs="Tahoma"/>
          <w:b/>
          <w:i/>
          <w:iCs/>
          <w:color w:val="404040" w:themeColor="text1" w:themeTint="BF"/>
          <w:sz w:val="32"/>
          <w:szCs w:val="32"/>
          <w:lang w:val="mk-MK"/>
        </w:rPr>
      </w:pPr>
      <w:r w:rsidRPr="00B63768">
        <w:rPr>
          <w:lang w:val="mk-MK"/>
        </w:rPr>
        <w:br w:type="page"/>
      </w: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EE6B2F" w:rsidRPr="00B63768" w:rsidRDefault="00EE6B2F" w:rsidP="00FC5FB1">
      <w:pPr>
        <w:rPr>
          <w:lang w:val="mk-MK"/>
        </w:rPr>
      </w:pPr>
    </w:p>
    <w:p w:rsidR="00620347" w:rsidRPr="00B63768" w:rsidRDefault="00620347" w:rsidP="00EE6B2F">
      <w:pPr>
        <w:pStyle w:val="Heading7"/>
        <w:ind w:left="-4536"/>
        <w:jc w:val="center"/>
        <w:rPr>
          <w:lang w:val="mk-MK"/>
        </w:rPr>
      </w:pPr>
      <w:bookmarkStart w:id="232" w:name="_Toc362007073"/>
      <w:r w:rsidRPr="00B63768">
        <w:rPr>
          <w:lang w:val="mk-MK"/>
        </w:rPr>
        <w:t>АНЕКСИ</w:t>
      </w:r>
      <w:bookmarkEnd w:id="232"/>
    </w:p>
    <w:p w:rsidR="00620347" w:rsidRPr="00B63768" w:rsidRDefault="00620347" w:rsidP="00620347">
      <w:pPr>
        <w:ind w:left="-4320"/>
        <w:rPr>
          <w:rFonts w:cs="Tahoma"/>
          <w:lang w:val="mk-MK"/>
        </w:rPr>
      </w:pPr>
    </w:p>
    <w:sectPr w:rsidR="00620347" w:rsidRPr="00B63768" w:rsidSect="008476D5">
      <w:pgSz w:w="12240" w:h="15840" w:code="1"/>
      <w:pgMar w:top="1440" w:right="1440" w:bottom="1440" w:left="594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655" w:rsidRDefault="008E3655" w:rsidP="00EC4F52">
      <w:r>
        <w:separator/>
      </w:r>
    </w:p>
  </w:endnote>
  <w:endnote w:type="continuationSeparator" w:id="0">
    <w:p w:rsidR="008E3655" w:rsidRDefault="008E3655" w:rsidP="00EC4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3626"/>
      <w:docPartObj>
        <w:docPartGallery w:val="Page Numbers (Bottom of Page)"/>
        <w:docPartUnique/>
      </w:docPartObj>
    </w:sdtPr>
    <w:sdtContent>
      <w:p w:rsidR="006F63B5" w:rsidRDefault="00040D2C" w:rsidP="007562D9">
        <w:pPr>
          <w:pStyle w:val="Footer"/>
          <w:ind w:left="-4320"/>
          <w:jc w:val="center"/>
        </w:pPr>
        <w:fldSimple w:instr=" PAGE   \* MERGEFORMAT ">
          <w:r w:rsidR="00BF4C8D">
            <w:rPr>
              <w:noProof/>
            </w:rPr>
            <w:t>2</w:t>
          </w:r>
        </w:fldSimple>
      </w:p>
    </w:sdtContent>
  </w:sdt>
  <w:p w:rsidR="006F63B5" w:rsidRDefault="006F63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476"/>
      <w:docPartObj>
        <w:docPartGallery w:val="Page Numbers (Bottom of Page)"/>
        <w:docPartUnique/>
      </w:docPartObj>
    </w:sdtPr>
    <w:sdtContent>
      <w:p w:rsidR="006F63B5" w:rsidRDefault="00040D2C">
        <w:pPr>
          <w:pStyle w:val="Footer"/>
        </w:pPr>
        <w:fldSimple w:instr=" PAGE   \* MERGEFORMAT ">
          <w:r w:rsidR="00BF4C8D">
            <w:rPr>
              <w:noProof/>
            </w:rPr>
            <w:t>3</w:t>
          </w:r>
        </w:fldSimple>
      </w:p>
    </w:sdtContent>
  </w:sdt>
  <w:p w:rsidR="006F63B5" w:rsidRDefault="006F63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655" w:rsidRDefault="008E3655" w:rsidP="00EC4F52">
      <w:r>
        <w:separator/>
      </w:r>
    </w:p>
  </w:footnote>
  <w:footnote w:type="continuationSeparator" w:id="0">
    <w:p w:rsidR="008E3655" w:rsidRDefault="008E3655" w:rsidP="00EC4F52">
      <w:r>
        <w:continuationSeparator/>
      </w:r>
    </w:p>
  </w:footnote>
  <w:footnote w:id="1">
    <w:p w:rsidR="006F63B5" w:rsidRPr="002A2FAA" w:rsidRDefault="006F63B5" w:rsidP="00E56409">
      <w:pPr>
        <w:pStyle w:val="FootnoteText"/>
        <w:ind w:left="-4536"/>
        <w:rPr>
          <w:sz w:val="18"/>
          <w:szCs w:val="18"/>
          <w:lang w:val="mk-MK"/>
        </w:rPr>
      </w:pPr>
      <w:r w:rsidRPr="002A2FAA">
        <w:rPr>
          <w:rStyle w:val="FootnoteReference"/>
          <w:sz w:val="18"/>
          <w:szCs w:val="18"/>
        </w:rPr>
        <w:footnoteRef/>
      </w:r>
      <w:r w:rsidRPr="002A2FAA">
        <w:rPr>
          <w:sz w:val="18"/>
          <w:szCs w:val="18"/>
        </w:rPr>
        <w:t xml:space="preserve"> </w:t>
      </w:r>
      <w:r w:rsidRPr="002A2FAA">
        <w:rPr>
          <w:sz w:val="18"/>
          <w:szCs w:val="18"/>
          <w:lang w:val="mk-MK"/>
        </w:rPr>
        <w:t xml:space="preserve">Банки коишто се во доминантна странска сопственост, но во кои отсуствува стратегиски инвеститор. </w:t>
      </w:r>
    </w:p>
  </w:footnote>
  <w:footnote w:id="2">
    <w:p w:rsidR="006F63B5" w:rsidRPr="00890271" w:rsidRDefault="006F63B5" w:rsidP="00C515A4">
      <w:pPr>
        <w:pStyle w:val="FootnoteText"/>
        <w:ind w:left="-4500"/>
        <w:rPr>
          <w:lang w:val="mk-MK"/>
        </w:rPr>
      </w:pPr>
      <w:r>
        <w:rPr>
          <w:rStyle w:val="FootnoteReference"/>
        </w:rPr>
        <w:footnoteRef/>
      </w:r>
      <w:r w:rsidRPr="00D22DB7">
        <w:rPr>
          <w:lang w:val="mk-MK"/>
        </w:rPr>
        <w:t xml:space="preserve"> </w:t>
      </w:r>
      <w:r>
        <w:rPr>
          <w:sz w:val="18"/>
          <w:szCs w:val="18"/>
          <w:lang w:val="mk-MK"/>
        </w:rPr>
        <w:t xml:space="preserve">Во првиот квартал од 2013 година, активата на Македонската банка за поддршка на развојот АД Скопје (МБПР), којашто е во сопственост на државата, оствари значителен пораст пред сѐ како резултат на повлекувањето на третата и четвртата транша од кредитната линија од ЕИБ којашто се пласира преку банките со посредство на МБПР.  </w:t>
      </w:r>
    </w:p>
  </w:footnote>
  <w:footnote w:id="3">
    <w:p w:rsidR="006F63B5" w:rsidRPr="001972FD" w:rsidRDefault="006F63B5" w:rsidP="00C515A4">
      <w:pPr>
        <w:pStyle w:val="FootnoteText"/>
        <w:ind w:left="-4536"/>
        <w:rPr>
          <w:sz w:val="18"/>
          <w:szCs w:val="18"/>
          <w:lang w:val="mk-MK"/>
        </w:rPr>
      </w:pPr>
      <w:r w:rsidRPr="001972FD">
        <w:rPr>
          <w:rStyle w:val="FootnoteReference"/>
          <w:sz w:val="18"/>
          <w:szCs w:val="18"/>
        </w:rPr>
        <w:footnoteRef/>
      </w:r>
      <w:r w:rsidRPr="00C30EF7">
        <w:rPr>
          <w:sz w:val="18"/>
          <w:szCs w:val="18"/>
          <w:lang w:val="mk-MK"/>
        </w:rPr>
        <w:t xml:space="preserve"> </w:t>
      </w:r>
      <w:r w:rsidRPr="00B02677">
        <w:rPr>
          <w:rFonts w:cs="Tahoma"/>
          <w:sz w:val="18"/>
          <w:szCs w:val="18"/>
          <w:lang w:val="mk-MK"/>
        </w:rPr>
        <w:t>Херфиндал-индексот се пресметува според формулата</w:t>
      </w:r>
      <w:r w:rsidRPr="00BC2A6D">
        <w:rPr>
          <w:rFonts w:cs="Tahoma"/>
          <w:position w:val="-30"/>
          <w:sz w:val="18"/>
          <w:szCs w:val="18"/>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2pt" o:ole="" fillcolor="window">
            <v:imagedata r:id="rId1" o:title=""/>
          </v:shape>
          <o:OLEObject Type="Embed" ProgID="Equation.3" ShapeID="_x0000_i1025" DrawAspect="Content" ObjectID="_1448960451" r:id="rId2"/>
        </w:object>
      </w:r>
      <w:r>
        <w:rPr>
          <w:rFonts w:cs="Tahoma"/>
          <w:sz w:val="18"/>
          <w:szCs w:val="18"/>
          <w:lang w:val="mk-MK"/>
        </w:rPr>
        <w:t xml:space="preserve">, каде што </w:t>
      </w:r>
      <w:r w:rsidRPr="00F75108">
        <w:rPr>
          <w:rFonts w:cs="Tahoma"/>
          <w:sz w:val="18"/>
          <w:szCs w:val="18"/>
          <w:lang w:val="mk-MK"/>
        </w:rPr>
        <w:t xml:space="preserve">S </w:t>
      </w:r>
      <w:r>
        <w:rPr>
          <w:rFonts w:cs="Tahoma"/>
          <w:sz w:val="18"/>
          <w:szCs w:val="18"/>
          <w:lang w:val="mk-MK"/>
        </w:rPr>
        <w:t>е учеството на секоја банка во вкупниот износ на категоријата којашто се анализира (на пример</w:t>
      </w:r>
      <w:r w:rsidRPr="00F75108">
        <w:rPr>
          <w:rFonts w:cs="Tahoma"/>
          <w:sz w:val="18"/>
          <w:szCs w:val="18"/>
          <w:lang w:val="mk-MK"/>
        </w:rPr>
        <w:t xml:space="preserve">: </w:t>
      </w:r>
      <w:r>
        <w:rPr>
          <w:rFonts w:cs="Tahoma"/>
          <w:sz w:val="18"/>
          <w:szCs w:val="18"/>
          <w:lang w:val="mk-MK"/>
        </w:rPr>
        <w:t xml:space="preserve">вкупна актива, вкупни депозити итн.), а </w:t>
      </w:r>
      <w:r w:rsidRPr="00F75108">
        <w:rPr>
          <w:rFonts w:cs="Tahoma"/>
          <w:i/>
          <w:sz w:val="18"/>
          <w:szCs w:val="18"/>
          <w:lang w:val="mk-MK"/>
        </w:rPr>
        <w:t xml:space="preserve">n </w:t>
      </w:r>
      <w:r w:rsidRPr="00B02677">
        <w:rPr>
          <w:rFonts w:cs="Tahoma"/>
          <w:sz w:val="18"/>
          <w:szCs w:val="18"/>
          <w:lang w:val="mk-MK"/>
        </w:rPr>
        <w:t>е вкуп</w:t>
      </w:r>
      <w:r>
        <w:rPr>
          <w:rFonts w:cs="Tahoma"/>
          <w:sz w:val="18"/>
          <w:szCs w:val="18"/>
          <w:lang w:val="mk-MK"/>
        </w:rPr>
        <w:t xml:space="preserve">ниот број банки во системот. </w:t>
      </w:r>
    </w:p>
  </w:footnote>
  <w:footnote w:id="4">
    <w:p w:rsidR="006F63B5" w:rsidRPr="001972FD" w:rsidRDefault="006F63B5" w:rsidP="00C515A4">
      <w:pPr>
        <w:pStyle w:val="FootnoteText"/>
        <w:ind w:left="-4536"/>
        <w:rPr>
          <w:lang w:val="mk-MK"/>
        </w:rPr>
      </w:pPr>
      <w:r>
        <w:rPr>
          <w:rStyle w:val="FootnoteReference"/>
        </w:rPr>
        <w:footnoteRef/>
      </w:r>
      <w:r w:rsidRPr="00D22DB7">
        <w:rPr>
          <w:lang w:val="mk-MK"/>
        </w:rPr>
        <w:t xml:space="preserve"> </w:t>
      </w:r>
      <w:r w:rsidRPr="00AE67D9">
        <w:rPr>
          <w:rFonts w:cs="Tahoma"/>
          <w:sz w:val="18"/>
          <w:szCs w:val="18"/>
          <w:lang w:val="mk-MK"/>
        </w:rPr>
        <w:t>Показателот ЦР5 го претставува учеството на активата (односно категоријата којашто се анализира, на пример кредити на претпријатија</w:t>
      </w:r>
      <w:r>
        <w:rPr>
          <w:rFonts w:cs="Tahoma"/>
          <w:sz w:val="18"/>
          <w:szCs w:val="18"/>
          <w:lang w:val="mk-MK"/>
        </w:rPr>
        <w:t>та итн.) на петте банки со најголема актива (односно категоријата којашто се анализира) во вкупната актива (односно категоријата којашто се анализира) на банкарскиот систем.</w:t>
      </w:r>
    </w:p>
  </w:footnote>
  <w:footnote w:id="5">
    <w:p w:rsidR="006F63B5" w:rsidRPr="00890271" w:rsidRDefault="006F63B5" w:rsidP="00C515A4">
      <w:pPr>
        <w:pStyle w:val="FootnoteText"/>
        <w:ind w:left="-4500"/>
        <w:rPr>
          <w:lang w:val="mk-MK"/>
        </w:rPr>
      </w:pPr>
      <w:r>
        <w:rPr>
          <w:rStyle w:val="FootnoteReference"/>
        </w:rPr>
        <w:footnoteRef/>
      </w:r>
      <w:r w:rsidRPr="00D22DB7">
        <w:rPr>
          <w:lang w:val="mk-MK"/>
        </w:rPr>
        <w:t xml:space="preserve"> </w:t>
      </w:r>
      <w:r>
        <w:rPr>
          <w:rFonts w:cs="Tahoma"/>
          <w:sz w:val="18"/>
          <w:szCs w:val="18"/>
          <w:lang w:val="mk-MK"/>
        </w:rPr>
        <w:t>Кога Херфиндаловиот индекс се движи во интервал од 1.000 единици до 1.800 единици, нивото на концентрација се смета за прифатливо.</w:t>
      </w:r>
    </w:p>
  </w:footnote>
  <w:footnote w:id="6">
    <w:p w:rsidR="006F63B5" w:rsidRDefault="006F63B5">
      <w:pPr>
        <w:pStyle w:val="FootnoteText"/>
        <w:ind w:left="-4536"/>
        <w:rPr>
          <w:sz w:val="18"/>
          <w:szCs w:val="18"/>
          <w:lang w:val="mk-MK"/>
        </w:rPr>
      </w:pPr>
      <w:r w:rsidRPr="008552EF">
        <w:rPr>
          <w:rStyle w:val="FootnoteReference"/>
          <w:sz w:val="18"/>
          <w:szCs w:val="18"/>
        </w:rPr>
        <w:footnoteRef/>
      </w:r>
      <w:r w:rsidRPr="00D22DB7">
        <w:rPr>
          <w:sz w:val="18"/>
          <w:szCs w:val="18"/>
          <w:lang w:val="mk-MK"/>
        </w:rPr>
        <w:t xml:space="preserve"> </w:t>
      </w:r>
      <w:r w:rsidRPr="008552EF">
        <w:rPr>
          <w:sz w:val="18"/>
          <w:szCs w:val="18"/>
          <w:lang w:val="mk-MK"/>
        </w:rPr>
        <w:t>Подетаљно за измените од јануари 2013 години во Кварталниот изве</w:t>
      </w:r>
      <w:r>
        <w:rPr>
          <w:sz w:val="18"/>
          <w:szCs w:val="18"/>
          <w:lang w:val="mk-MK"/>
        </w:rPr>
        <w:t>ш</w:t>
      </w:r>
      <w:r w:rsidRPr="008552EF">
        <w:rPr>
          <w:sz w:val="18"/>
          <w:szCs w:val="18"/>
          <w:lang w:val="mk-MK"/>
        </w:rPr>
        <w:t xml:space="preserve">тај на </w:t>
      </w:r>
      <w:r>
        <w:rPr>
          <w:sz w:val="18"/>
          <w:szCs w:val="18"/>
          <w:lang w:val="mk-MK"/>
        </w:rPr>
        <w:t>НБРМ од</w:t>
      </w:r>
      <w:r w:rsidRPr="008552EF">
        <w:rPr>
          <w:sz w:val="18"/>
          <w:szCs w:val="18"/>
          <w:lang w:val="mk-MK"/>
        </w:rPr>
        <w:t xml:space="preserve"> јануари 2013 година, а </w:t>
      </w:r>
      <w:r>
        <w:rPr>
          <w:sz w:val="18"/>
          <w:szCs w:val="18"/>
          <w:lang w:val="mk-MK"/>
        </w:rPr>
        <w:t xml:space="preserve">за измените во јули 2013 година во </w:t>
      </w:r>
      <w:r w:rsidRPr="00B971C7">
        <w:rPr>
          <w:sz w:val="18"/>
          <w:szCs w:val="18"/>
          <w:lang w:val="mk-MK"/>
        </w:rPr>
        <w:t>Кварталниот изве</w:t>
      </w:r>
      <w:r>
        <w:rPr>
          <w:sz w:val="18"/>
          <w:szCs w:val="18"/>
          <w:lang w:val="mk-MK"/>
        </w:rPr>
        <w:t>ш</w:t>
      </w:r>
      <w:r w:rsidRPr="00B971C7">
        <w:rPr>
          <w:sz w:val="18"/>
          <w:szCs w:val="18"/>
          <w:lang w:val="mk-MK"/>
        </w:rPr>
        <w:t xml:space="preserve">тај на </w:t>
      </w:r>
      <w:r>
        <w:rPr>
          <w:sz w:val="18"/>
          <w:szCs w:val="18"/>
          <w:lang w:val="mk-MK"/>
        </w:rPr>
        <w:t>НБРМ од</w:t>
      </w:r>
      <w:r w:rsidRPr="00B971C7">
        <w:rPr>
          <w:sz w:val="18"/>
          <w:szCs w:val="18"/>
          <w:lang w:val="mk-MK"/>
        </w:rPr>
        <w:t xml:space="preserve"> </w:t>
      </w:r>
      <w:r>
        <w:rPr>
          <w:sz w:val="18"/>
          <w:szCs w:val="18"/>
          <w:lang w:val="mk-MK"/>
        </w:rPr>
        <w:t>јули</w:t>
      </w:r>
      <w:r w:rsidRPr="00B971C7">
        <w:rPr>
          <w:sz w:val="18"/>
          <w:szCs w:val="18"/>
          <w:lang w:val="mk-MK"/>
        </w:rPr>
        <w:t xml:space="preserve"> 2013 година</w:t>
      </w:r>
      <w:r>
        <w:rPr>
          <w:sz w:val="18"/>
          <w:szCs w:val="18"/>
          <w:lang w:val="mk-MK"/>
        </w:rPr>
        <w:t>.</w:t>
      </w:r>
    </w:p>
  </w:footnote>
  <w:footnote w:id="7">
    <w:p w:rsidR="006F63B5" w:rsidRPr="00F64027" w:rsidRDefault="006F63B5" w:rsidP="00DB3E0D">
      <w:pPr>
        <w:pStyle w:val="FootnoteText"/>
        <w:ind w:left="-4536"/>
        <w:rPr>
          <w:sz w:val="18"/>
          <w:szCs w:val="18"/>
          <w:lang w:val="mk-MK"/>
        </w:rPr>
      </w:pPr>
      <w:r w:rsidRPr="00F64027">
        <w:rPr>
          <w:rStyle w:val="FootnoteReference"/>
          <w:sz w:val="18"/>
          <w:szCs w:val="18"/>
        </w:rPr>
        <w:footnoteRef/>
      </w:r>
      <w:r w:rsidRPr="00D22DB7">
        <w:rPr>
          <w:sz w:val="18"/>
          <w:szCs w:val="18"/>
          <w:lang w:val="mk-MK"/>
        </w:rPr>
        <w:t xml:space="preserve"> </w:t>
      </w:r>
      <w:r w:rsidRPr="00F64027">
        <w:rPr>
          <w:sz w:val="18"/>
          <w:szCs w:val="18"/>
          <w:lang w:val="mk-MK"/>
        </w:rPr>
        <w:t xml:space="preserve">Подетално во делот </w:t>
      </w:r>
      <w:r>
        <w:rPr>
          <w:sz w:val="18"/>
          <w:szCs w:val="18"/>
          <w:lang w:val="mk-MK"/>
        </w:rPr>
        <w:t>1.1.</w:t>
      </w:r>
      <w:r w:rsidRPr="00D22DB7">
        <w:rPr>
          <w:sz w:val="18"/>
          <w:szCs w:val="18"/>
          <w:lang w:val="mk-MK"/>
        </w:rPr>
        <w:t xml:space="preserve"> </w:t>
      </w:r>
      <w:r>
        <w:rPr>
          <w:sz w:val="18"/>
          <w:szCs w:val="18"/>
          <w:lang w:val="mk-MK"/>
        </w:rPr>
        <w:t xml:space="preserve">Кредити на нефинансиските субјекти. </w:t>
      </w:r>
    </w:p>
  </w:footnote>
  <w:footnote w:id="8">
    <w:p w:rsidR="006F63B5" w:rsidRPr="006105EA" w:rsidRDefault="006F63B5" w:rsidP="002706D7">
      <w:pPr>
        <w:pStyle w:val="FootnoteText"/>
        <w:ind w:left="-4536"/>
        <w:rPr>
          <w:sz w:val="18"/>
          <w:szCs w:val="18"/>
          <w:lang w:val="mk-MK"/>
        </w:rPr>
      </w:pPr>
      <w:r>
        <w:rPr>
          <w:rStyle w:val="FootnoteReference"/>
        </w:rPr>
        <w:footnoteRef/>
      </w:r>
      <w:r w:rsidRPr="00D22DB7">
        <w:rPr>
          <w:lang w:val="mk-MK"/>
        </w:rPr>
        <w:t xml:space="preserve"> </w:t>
      </w:r>
      <w:r w:rsidRPr="002706D7">
        <w:rPr>
          <w:sz w:val="18"/>
          <w:szCs w:val="18"/>
          <w:lang w:val="mk-MK"/>
        </w:rPr>
        <w:t>Дополнително на овие промени, во</w:t>
      </w:r>
      <w:r>
        <w:rPr>
          <w:sz w:val="18"/>
          <w:szCs w:val="18"/>
          <w:lang w:val="mk-MK"/>
        </w:rPr>
        <w:t xml:space="preserve"> јули 2013 година, </w:t>
      </w:r>
      <w:r w:rsidRPr="00E42910">
        <w:rPr>
          <w:sz w:val="18"/>
          <w:szCs w:val="18"/>
          <w:lang w:val="mk-MK"/>
        </w:rPr>
        <w:t>се промени аукцијата на благајнички</w:t>
      </w:r>
      <w:r>
        <w:rPr>
          <w:sz w:val="18"/>
          <w:szCs w:val="18"/>
          <w:lang w:val="mk-MK"/>
        </w:rPr>
        <w:t>те</w:t>
      </w:r>
      <w:r w:rsidRPr="00E42910">
        <w:rPr>
          <w:sz w:val="18"/>
          <w:szCs w:val="18"/>
          <w:lang w:val="mk-MK"/>
        </w:rPr>
        <w:t xml:space="preserve"> записи во </w:t>
      </w:r>
      <w:r>
        <w:rPr>
          <w:sz w:val="18"/>
          <w:szCs w:val="18"/>
          <w:lang w:val="mk-MK"/>
        </w:rPr>
        <w:t>аукција со ограничен износ на понудата и фиксна каматна стапка од 3,25%. Покрај тоа, повторно беа извршени промени во инструментот задолжителна резерва чијашто цел е да се зголеми привлечноста на штедењето во домашна валута и да се придонесе кон зголемување на влезот на долгорочен странски капитал и во крајна линија да се поттикне кредитниот раст.</w:t>
      </w:r>
    </w:p>
  </w:footnote>
  <w:footnote w:id="9">
    <w:p w:rsidR="006F63B5" w:rsidRPr="006C4116" w:rsidRDefault="006F63B5" w:rsidP="006C4116">
      <w:pPr>
        <w:pStyle w:val="FootnoteText"/>
        <w:ind w:left="-4536"/>
        <w:rPr>
          <w:sz w:val="18"/>
          <w:szCs w:val="18"/>
          <w:lang w:val="mk-MK"/>
        </w:rPr>
      </w:pPr>
      <w:r w:rsidRPr="006C4116">
        <w:rPr>
          <w:rStyle w:val="FootnoteReference"/>
          <w:sz w:val="18"/>
          <w:szCs w:val="18"/>
        </w:rPr>
        <w:footnoteRef/>
      </w:r>
      <w:r w:rsidRPr="00D22DB7">
        <w:rPr>
          <w:sz w:val="18"/>
          <w:szCs w:val="18"/>
          <w:lang w:val="mk-MK"/>
        </w:rPr>
        <w:t xml:space="preserve"> </w:t>
      </w:r>
      <w:r w:rsidRPr="006C4116">
        <w:rPr>
          <w:sz w:val="18"/>
          <w:szCs w:val="18"/>
          <w:lang w:val="mk-MK"/>
        </w:rPr>
        <w:t xml:space="preserve">Во јануари </w:t>
      </w:r>
      <w:r>
        <w:rPr>
          <w:sz w:val="18"/>
          <w:szCs w:val="18"/>
          <w:lang w:val="mk-MK"/>
        </w:rPr>
        <w:t xml:space="preserve">и март </w:t>
      </w:r>
      <w:r w:rsidRPr="006C4116">
        <w:rPr>
          <w:sz w:val="18"/>
          <w:szCs w:val="18"/>
          <w:lang w:val="mk-MK"/>
        </w:rPr>
        <w:t xml:space="preserve">2013 година </w:t>
      </w:r>
      <w:r>
        <w:rPr>
          <w:sz w:val="18"/>
          <w:szCs w:val="18"/>
          <w:lang w:val="mk-MK"/>
        </w:rPr>
        <w:t>с</w:t>
      </w:r>
      <w:r w:rsidRPr="006C4116">
        <w:rPr>
          <w:sz w:val="18"/>
          <w:szCs w:val="18"/>
          <w:lang w:val="mk-MK"/>
        </w:rPr>
        <w:t>е повлечен</w:t>
      </w:r>
      <w:r>
        <w:rPr>
          <w:sz w:val="18"/>
          <w:szCs w:val="18"/>
          <w:lang w:val="mk-MK"/>
        </w:rPr>
        <w:t>и</w:t>
      </w:r>
      <w:r w:rsidRPr="006C4116">
        <w:rPr>
          <w:sz w:val="18"/>
          <w:szCs w:val="18"/>
          <w:lang w:val="mk-MK"/>
        </w:rPr>
        <w:t xml:space="preserve"> третата</w:t>
      </w:r>
      <w:r>
        <w:rPr>
          <w:sz w:val="18"/>
          <w:szCs w:val="18"/>
          <w:lang w:val="mk-MK"/>
        </w:rPr>
        <w:t xml:space="preserve"> и четвртата</w:t>
      </w:r>
      <w:r w:rsidRPr="006C4116">
        <w:rPr>
          <w:sz w:val="18"/>
          <w:szCs w:val="18"/>
          <w:lang w:val="mk-MK"/>
        </w:rPr>
        <w:t xml:space="preserve"> транша од кредитната линија на ЕИБ во износ од </w:t>
      </w:r>
      <w:r>
        <w:rPr>
          <w:sz w:val="18"/>
          <w:szCs w:val="18"/>
          <w:lang w:val="mk-MK"/>
        </w:rPr>
        <w:t xml:space="preserve">речиси 25 милиони евра (1.530 милиони денари), коишто се пласирани преку седум банки во земјата. </w:t>
      </w:r>
    </w:p>
  </w:footnote>
  <w:footnote w:id="10">
    <w:p w:rsidR="006F63B5" w:rsidRPr="00E56409" w:rsidRDefault="006F63B5" w:rsidP="00DB3E0D">
      <w:pPr>
        <w:pStyle w:val="FootnoteText"/>
        <w:ind w:left="-4536"/>
        <w:rPr>
          <w:sz w:val="18"/>
          <w:szCs w:val="18"/>
          <w:lang w:val="mk-MK"/>
        </w:rPr>
      </w:pPr>
      <w:r w:rsidRPr="00E56409">
        <w:rPr>
          <w:rStyle w:val="FootnoteReference"/>
          <w:sz w:val="18"/>
          <w:szCs w:val="18"/>
        </w:rPr>
        <w:footnoteRef/>
      </w:r>
      <w:r w:rsidRPr="00D22DB7">
        <w:rPr>
          <w:sz w:val="18"/>
          <w:szCs w:val="18"/>
          <w:lang w:val="mk-MK"/>
        </w:rPr>
        <w:t xml:space="preserve"> </w:t>
      </w:r>
      <w:r w:rsidRPr="00E56409">
        <w:rPr>
          <w:sz w:val="18"/>
          <w:szCs w:val="18"/>
          <w:lang w:val="mk-MK"/>
        </w:rPr>
        <w:t>Подета</w:t>
      </w:r>
      <w:r>
        <w:rPr>
          <w:sz w:val="18"/>
          <w:szCs w:val="18"/>
          <w:lang w:val="mk-MK"/>
        </w:rPr>
        <w:t>љ</w:t>
      </w:r>
      <w:r w:rsidRPr="00E56409">
        <w:rPr>
          <w:sz w:val="18"/>
          <w:szCs w:val="18"/>
          <w:lang w:val="mk-MK"/>
        </w:rPr>
        <w:t xml:space="preserve">но во делот </w:t>
      </w:r>
      <w:r>
        <w:rPr>
          <w:sz w:val="18"/>
          <w:szCs w:val="18"/>
          <w:lang w:val="mk-MK"/>
        </w:rPr>
        <w:t>1.2.</w:t>
      </w:r>
      <w:r w:rsidRPr="00E56409">
        <w:rPr>
          <w:sz w:val="18"/>
          <w:szCs w:val="18"/>
          <w:lang w:val="mk-MK"/>
        </w:rPr>
        <w:t xml:space="preserve"> Депозити на нефинансиски</w:t>
      </w:r>
      <w:r>
        <w:rPr>
          <w:sz w:val="18"/>
          <w:szCs w:val="18"/>
          <w:lang w:val="mk-MK"/>
        </w:rPr>
        <w:t>те</w:t>
      </w:r>
      <w:r w:rsidRPr="00E56409">
        <w:rPr>
          <w:sz w:val="18"/>
          <w:szCs w:val="18"/>
          <w:lang w:val="mk-MK"/>
        </w:rPr>
        <w:t xml:space="preserve"> субјекти. </w:t>
      </w:r>
    </w:p>
  </w:footnote>
  <w:footnote w:id="11">
    <w:p w:rsidR="006F63B5" w:rsidRPr="0008057C" w:rsidRDefault="006F63B5" w:rsidP="0008057C">
      <w:pPr>
        <w:pStyle w:val="FootnoteText"/>
        <w:ind w:left="-4536"/>
        <w:rPr>
          <w:sz w:val="18"/>
          <w:szCs w:val="18"/>
          <w:lang w:val="mk-MK"/>
        </w:rPr>
      </w:pPr>
      <w:r w:rsidRPr="0008057C">
        <w:rPr>
          <w:rStyle w:val="FootnoteReference"/>
          <w:sz w:val="18"/>
          <w:szCs w:val="18"/>
        </w:rPr>
        <w:footnoteRef/>
      </w:r>
      <w:r w:rsidRPr="00D22DB7">
        <w:rPr>
          <w:sz w:val="18"/>
          <w:szCs w:val="18"/>
          <w:lang w:val="mk-MK"/>
        </w:rPr>
        <w:t xml:space="preserve"> </w:t>
      </w:r>
      <w:r w:rsidRPr="0008057C">
        <w:rPr>
          <w:sz w:val="18"/>
          <w:szCs w:val="18"/>
          <w:lang w:val="mk-MK"/>
        </w:rPr>
        <w:t>Повторно како резултат на користената кредитна линија од ЕИБ</w:t>
      </w:r>
      <w:r>
        <w:rPr>
          <w:sz w:val="18"/>
          <w:szCs w:val="18"/>
          <w:lang w:val="mk-MK"/>
        </w:rPr>
        <w:t>.</w:t>
      </w:r>
    </w:p>
  </w:footnote>
  <w:footnote w:id="12">
    <w:p w:rsidR="006F63B5" w:rsidRPr="00CD735B" w:rsidRDefault="006F63B5" w:rsidP="000663DC">
      <w:pPr>
        <w:autoSpaceDE w:val="0"/>
        <w:autoSpaceDN w:val="0"/>
        <w:ind w:left="-4536"/>
        <w:rPr>
          <w:lang w:val="mk-MK"/>
        </w:rPr>
      </w:pPr>
      <w:r>
        <w:rPr>
          <w:rStyle w:val="FootnoteReference"/>
        </w:rPr>
        <w:footnoteRef/>
      </w:r>
      <w:r>
        <w:t xml:space="preserve"> </w:t>
      </w:r>
      <w:r>
        <w:rPr>
          <w:lang w:val="mk-MK"/>
        </w:rPr>
        <w:t>К</w:t>
      </w:r>
      <w:r>
        <w:rPr>
          <w:rFonts w:cs="Tahoma"/>
          <w:sz w:val="18"/>
          <w:szCs w:val="18"/>
        </w:rPr>
        <w:t>редити</w:t>
      </w:r>
      <w:r>
        <w:rPr>
          <w:rFonts w:cs="Tahoma"/>
          <w:sz w:val="18"/>
          <w:szCs w:val="18"/>
          <w:lang w:val="mk-MK"/>
        </w:rPr>
        <w:t>те</w:t>
      </w:r>
      <w:r>
        <w:rPr>
          <w:rFonts w:cs="Tahoma"/>
          <w:sz w:val="18"/>
          <w:szCs w:val="18"/>
        </w:rPr>
        <w:t xml:space="preserve"> кон нефинансиски</w:t>
      </w:r>
      <w:r>
        <w:rPr>
          <w:rFonts w:cs="Tahoma"/>
          <w:sz w:val="18"/>
          <w:szCs w:val="18"/>
          <w:lang w:val="mk-MK"/>
        </w:rPr>
        <w:t>те</w:t>
      </w:r>
      <w:r>
        <w:rPr>
          <w:rFonts w:cs="Tahoma"/>
          <w:sz w:val="18"/>
          <w:szCs w:val="18"/>
        </w:rPr>
        <w:t xml:space="preserve"> </w:t>
      </w:r>
      <w:r>
        <w:rPr>
          <w:rFonts w:cs="Tahoma"/>
          <w:sz w:val="18"/>
          <w:szCs w:val="18"/>
          <w:lang w:val="mk-MK"/>
        </w:rPr>
        <w:t>субјекти</w:t>
      </w:r>
      <w:r>
        <w:rPr>
          <w:rFonts w:cs="Tahoma"/>
          <w:sz w:val="18"/>
          <w:szCs w:val="18"/>
        </w:rPr>
        <w:t xml:space="preserve"> ги вклучуваат кредити</w:t>
      </w:r>
      <w:r>
        <w:rPr>
          <w:rFonts w:cs="Tahoma"/>
          <w:sz w:val="18"/>
          <w:szCs w:val="18"/>
          <w:lang w:val="mk-MK"/>
        </w:rPr>
        <w:t>те</w:t>
      </w:r>
      <w:r>
        <w:rPr>
          <w:rFonts w:cs="Tahoma"/>
          <w:sz w:val="18"/>
          <w:szCs w:val="18"/>
        </w:rPr>
        <w:t xml:space="preserve"> на нефинансиските лица - резиденти</w:t>
      </w:r>
      <w:r>
        <w:rPr>
          <w:rFonts w:cs="Tahoma"/>
          <w:sz w:val="18"/>
          <w:szCs w:val="18"/>
          <w:lang w:val="mk-MK"/>
        </w:rPr>
        <w:t xml:space="preserve"> </w:t>
      </w:r>
      <w:r>
        <w:rPr>
          <w:rFonts w:cs="Tahoma"/>
          <w:sz w:val="18"/>
          <w:szCs w:val="18"/>
        </w:rPr>
        <w:t>и нерезиденти, и тоа кредити</w:t>
      </w:r>
      <w:r>
        <w:rPr>
          <w:rFonts w:cs="Tahoma"/>
          <w:sz w:val="18"/>
          <w:szCs w:val="18"/>
          <w:lang w:val="mk-MK"/>
        </w:rPr>
        <w:t>те</w:t>
      </w:r>
      <w:r>
        <w:rPr>
          <w:rFonts w:cs="Tahoma"/>
          <w:sz w:val="18"/>
          <w:szCs w:val="18"/>
        </w:rPr>
        <w:t xml:space="preserve"> на: приватни</w:t>
      </w:r>
      <w:r>
        <w:rPr>
          <w:rFonts w:cs="Tahoma"/>
          <w:sz w:val="18"/>
          <w:szCs w:val="18"/>
          <w:lang w:val="mk-MK"/>
        </w:rPr>
        <w:t>те</w:t>
      </w:r>
      <w:r>
        <w:rPr>
          <w:rFonts w:cs="Tahoma"/>
          <w:sz w:val="18"/>
          <w:szCs w:val="18"/>
        </w:rPr>
        <w:t xml:space="preserve"> и јавни</w:t>
      </w:r>
      <w:r>
        <w:rPr>
          <w:rFonts w:cs="Tahoma"/>
          <w:sz w:val="18"/>
          <w:szCs w:val="18"/>
          <w:lang w:val="mk-MK"/>
        </w:rPr>
        <w:t>те</w:t>
      </w:r>
      <w:r>
        <w:rPr>
          <w:rFonts w:cs="Tahoma"/>
          <w:sz w:val="18"/>
          <w:szCs w:val="18"/>
        </w:rPr>
        <w:t xml:space="preserve"> нефинансиски друштва (кредити</w:t>
      </w:r>
      <w:r>
        <w:rPr>
          <w:rFonts w:cs="Tahoma"/>
          <w:sz w:val="18"/>
          <w:szCs w:val="18"/>
          <w:lang w:val="mk-MK"/>
        </w:rPr>
        <w:t>те</w:t>
      </w:r>
      <w:r>
        <w:rPr>
          <w:rFonts w:cs="Tahoma"/>
          <w:sz w:val="18"/>
          <w:szCs w:val="18"/>
        </w:rPr>
        <w:t xml:space="preserve"> на</w:t>
      </w:r>
      <w:r>
        <w:rPr>
          <w:rFonts w:cs="Tahoma"/>
          <w:sz w:val="18"/>
          <w:szCs w:val="18"/>
          <w:lang w:val="mk-MK"/>
        </w:rPr>
        <w:t xml:space="preserve"> </w:t>
      </w:r>
      <w:r>
        <w:rPr>
          <w:rFonts w:cs="Tahoma"/>
          <w:sz w:val="18"/>
          <w:szCs w:val="18"/>
        </w:rPr>
        <w:t>претпријатија</w:t>
      </w:r>
      <w:r>
        <w:rPr>
          <w:rFonts w:cs="Tahoma"/>
          <w:sz w:val="18"/>
          <w:szCs w:val="18"/>
          <w:lang w:val="mk-MK"/>
        </w:rPr>
        <w:t>та</w:t>
      </w:r>
      <w:r>
        <w:rPr>
          <w:rFonts w:cs="Tahoma"/>
          <w:sz w:val="18"/>
          <w:szCs w:val="18"/>
        </w:rPr>
        <w:t>), централна</w:t>
      </w:r>
      <w:r>
        <w:rPr>
          <w:rFonts w:cs="Tahoma"/>
          <w:sz w:val="18"/>
          <w:szCs w:val="18"/>
          <w:lang w:val="mk-MK"/>
        </w:rPr>
        <w:t>та</w:t>
      </w:r>
      <w:r>
        <w:rPr>
          <w:rFonts w:cs="Tahoma"/>
          <w:sz w:val="18"/>
          <w:szCs w:val="18"/>
        </w:rPr>
        <w:t xml:space="preserve"> влада, локална</w:t>
      </w:r>
      <w:r>
        <w:rPr>
          <w:rFonts w:cs="Tahoma"/>
          <w:sz w:val="18"/>
          <w:szCs w:val="18"/>
          <w:lang w:val="mk-MK"/>
        </w:rPr>
        <w:t>та</w:t>
      </w:r>
      <w:r>
        <w:rPr>
          <w:rFonts w:cs="Tahoma"/>
          <w:sz w:val="18"/>
          <w:szCs w:val="18"/>
        </w:rPr>
        <w:t xml:space="preserve"> самоуправа, непрофитни</w:t>
      </w:r>
      <w:r>
        <w:rPr>
          <w:rFonts w:cs="Tahoma"/>
          <w:sz w:val="18"/>
          <w:szCs w:val="18"/>
          <w:lang w:val="mk-MK"/>
        </w:rPr>
        <w:t>те</w:t>
      </w:r>
      <w:r>
        <w:rPr>
          <w:rFonts w:cs="Tahoma"/>
          <w:sz w:val="18"/>
          <w:szCs w:val="18"/>
        </w:rPr>
        <w:t xml:space="preserve"> институции коишто им служат на</w:t>
      </w:r>
      <w:r>
        <w:rPr>
          <w:rFonts w:cs="Tahoma"/>
          <w:sz w:val="18"/>
          <w:szCs w:val="18"/>
          <w:lang w:val="mk-MK"/>
        </w:rPr>
        <w:t xml:space="preserve"> </w:t>
      </w:r>
      <w:r>
        <w:rPr>
          <w:rFonts w:cs="Tahoma"/>
          <w:sz w:val="18"/>
          <w:szCs w:val="18"/>
        </w:rPr>
        <w:t>домаќинствата (кредити</w:t>
      </w:r>
      <w:r>
        <w:rPr>
          <w:rFonts w:cs="Tahoma"/>
          <w:sz w:val="18"/>
          <w:szCs w:val="18"/>
          <w:lang w:val="mk-MK"/>
        </w:rPr>
        <w:t>те</w:t>
      </w:r>
      <w:r>
        <w:rPr>
          <w:rFonts w:cs="Tahoma"/>
          <w:sz w:val="18"/>
          <w:szCs w:val="18"/>
        </w:rPr>
        <w:t xml:space="preserve"> на други</w:t>
      </w:r>
      <w:r>
        <w:rPr>
          <w:rFonts w:cs="Tahoma"/>
          <w:sz w:val="18"/>
          <w:szCs w:val="18"/>
          <w:lang w:val="mk-MK"/>
        </w:rPr>
        <w:t>те</w:t>
      </w:r>
      <w:r>
        <w:rPr>
          <w:rFonts w:cs="Tahoma"/>
          <w:sz w:val="18"/>
          <w:szCs w:val="18"/>
        </w:rPr>
        <w:t xml:space="preserve"> клиенти), самостојни</w:t>
      </w:r>
      <w:r>
        <w:rPr>
          <w:rFonts w:cs="Tahoma"/>
          <w:sz w:val="18"/>
          <w:szCs w:val="18"/>
          <w:lang w:val="mk-MK"/>
        </w:rPr>
        <w:t>те</w:t>
      </w:r>
      <w:r>
        <w:rPr>
          <w:rFonts w:cs="Tahoma"/>
          <w:sz w:val="18"/>
          <w:szCs w:val="18"/>
        </w:rPr>
        <w:t xml:space="preserve"> вршители на дејност и физички</w:t>
      </w:r>
      <w:r>
        <w:rPr>
          <w:rFonts w:cs="Tahoma"/>
          <w:sz w:val="18"/>
          <w:szCs w:val="18"/>
          <w:lang w:val="mk-MK"/>
        </w:rPr>
        <w:t>те</w:t>
      </w:r>
      <w:r>
        <w:rPr>
          <w:rFonts w:cs="Tahoma"/>
          <w:sz w:val="18"/>
          <w:szCs w:val="18"/>
        </w:rPr>
        <w:t xml:space="preserve"> лица (кредити</w:t>
      </w:r>
      <w:r>
        <w:rPr>
          <w:rFonts w:cs="Tahoma"/>
          <w:sz w:val="18"/>
          <w:szCs w:val="18"/>
          <w:lang w:val="mk-MK"/>
        </w:rPr>
        <w:t>те</w:t>
      </w:r>
      <w:r>
        <w:rPr>
          <w:rFonts w:cs="Tahoma"/>
          <w:sz w:val="18"/>
          <w:szCs w:val="18"/>
        </w:rPr>
        <w:t xml:space="preserve"> на домаќинства</w:t>
      </w:r>
      <w:r>
        <w:rPr>
          <w:rFonts w:cs="Tahoma"/>
          <w:sz w:val="18"/>
          <w:szCs w:val="18"/>
          <w:lang w:val="mk-MK"/>
        </w:rPr>
        <w:t>та</w:t>
      </w:r>
      <w:r>
        <w:rPr>
          <w:rFonts w:cs="Tahoma"/>
          <w:sz w:val="18"/>
          <w:szCs w:val="18"/>
        </w:rPr>
        <w:t>)</w:t>
      </w:r>
      <w:r>
        <w:rPr>
          <w:rFonts w:cs="Tahoma"/>
          <w:sz w:val="18"/>
          <w:szCs w:val="18"/>
          <w:lang w:val="mk-MK"/>
        </w:rPr>
        <w:t>.</w:t>
      </w:r>
    </w:p>
  </w:footnote>
  <w:footnote w:id="13">
    <w:p w:rsidR="006F63B5" w:rsidRPr="002E5807" w:rsidRDefault="006F63B5" w:rsidP="00F432A9">
      <w:pPr>
        <w:pStyle w:val="FootnoteText"/>
        <w:ind w:left="-4536"/>
        <w:rPr>
          <w:sz w:val="18"/>
          <w:szCs w:val="18"/>
          <w:lang w:val="mk-MK"/>
        </w:rPr>
      </w:pPr>
      <w:r>
        <w:rPr>
          <w:rStyle w:val="FootnoteReference"/>
        </w:rPr>
        <w:footnoteRef/>
      </w:r>
      <w:r w:rsidRPr="00D22DB7">
        <w:rPr>
          <w:lang w:val="mk-MK"/>
        </w:rPr>
        <w:t xml:space="preserve"> </w:t>
      </w:r>
      <w:r>
        <w:rPr>
          <w:sz w:val="18"/>
          <w:szCs w:val="18"/>
          <w:lang w:val="mk-MK"/>
        </w:rPr>
        <w:t>Анализирано по поединечна банка, кај девет банки кредитите се зголемија на квартална основа (зголемувањето се движеше во интервал од 0,4% до 17,7% по поединечна банка), а кај останатите банки се забележа квартално намалување на кредитите (намалувањето се движеше во интервалот од -0,3% до -3,3% по поединечна банка).</w:t>
      </w:r>
    </w:p>
  </w:footnote>
  <w:footnote w:id="14">
    <w:p w:rsidR="006F63B5" w:rsidRPr="00F63C21" w:rsidRDefault="006F63B5" w:rsidP="00DB3E0D">
      <w:pPr>
        <w:pStyle w:val="FootnoteText"/>
        <w:ind w:left="-4536"/>
        <w:rPr>
          <w:lang w:val="mk-MK"/>
        </w:rPr>
      </w:pPr>
      <w:r w:rsidRPr="00DB3E0D">
        <w:rPr>
          <w:rStyle w:val="FootnoteReference"/>
          <w:sz w:val="18"/>
          <w:szCs w:val="18"/>
        </w:rPr>
        <w:footnoteRef/>
      </w:r>
      <w:r w:rsidRPr="00D22DB7">
        <w:rPr>
          <w:sz w:val="18"/>
          <w:szCs w:val="18"/>
          <w:lang w:val="mk-MK"/>
        </w:rPr>
        <w:t xml:space="preserve"> </w:t>
      </w:r>
      <w:r w:rsidRPr="00DB3E0D">
        <w:rPr>
          <w:sz w:val="18"/>
          <w:szCs w:val="18"/>
          <w:lang w:val="mk-MK"/>
        </w:rPr>
        <w:t>Придонесот на долгорочните денарски депозити во вкупниот раст на депозит</w:t>
      </w:r>
      <w:r>
        <w:rPr>
          <w:sz w:val="18"/>
          <w:szCs w:val="18"/>
          <w:lang w:val="mk-MK"/>
        </w:rPr>
        <w:t>и</w:t>
      </w:r>
      <w:r w:rsidRPr="00DB3E0D">
        <w:rPr>
          <w:sz w:val="18"/>
          <w:szCs w:val="18"/>
          <w:lang w:val="mk-MK"/>
        </w:rPr>
        <w:t>те на домаќинствата изнесува 58,7%, а придонесот на долгорочните девизни депозити е 31,1%.</w:t>
      </w:r>
      <w:r>
        <w:rPr>
          <w:lang w:val="mk-MK"/>
        </w:rPr>
        <w:t xml:space="preserve">  </w:t>
      </w:r>
    </w:p>
  </w:footnote>
  <w:footnote w:id="15">
    <w:p w:rsidR="006F63B5" w:rsidRPr="00352713" w:rsidRDefault="006F63B5" w:rsidP="00352713">
      <w:pPr>
        <w:pStyle w:val="FootnoteText"/>
        <w:ind w:left="-4536"/>
        <w:rPr>
          <w:sz w:val="18"/>
          <w:szCs w:val="18"/>
          <w:lang w:val="mk-MK"/>
        </w:rPr>
      </w:pPr>
      <w:r w:rsidRPr="00352713">
        <w:rPr>
          <w:rStyle w:val="FootnoteReference"/>
          <w:sz w:val="18"/>
          <w:szCs w:val="18"/>
        </w:rPr>
        <w:footnoteRef/>
      </w:r>
      <w:r w:rsidRPr="00D22DB7">
        <w:rPr>
          <w:sz w:val="18"/>
          <w:szCs w:val="18"/>
          <w:lang w:val="mk-MK"/>
        </w:rPr>
        <w:t xml:space="preserve"> </w:t>
      </w:r>
      <w:r w:rsidRPr="00352713">
        <w:rPr>
          <w:sz w:val="18"/>
          <w:szCs w:val="18"/>
          <w:lang w:val="mk-MK"/>
        </w:rPr>
        <w:t>Станува збор за трансформација на краткорочен девизен депозит на една голема компанија со странски капитал заради исплата</w:t>
      </w:r>
      <w:r>
        <w:rPr>
          <w:sz w:val="18"/>
          <w:szCs w:val="18"/>
          <w:lang w:val="mk-MK"/>
        </w:rPr>
        <w:t xml:space="preserve"> </w:t>
      </w:r>
      <w:r w:rsidRPr="00352713">
        <w:rPr>
          <w:sz w:val="18"/>
          <w:szCs w:val="18"/>
          <w:lang w:val="mk-MK"/>
        </w:rPr>
        <w:t xml:space="preserve">на дивиденда </w:t>
      </w:r>
      <w:r>
        <w:rPr>
          <w:sz w:val="18"/>
          <w:szCs w:val="18"/>
          <w:lang w:val="mk-MK"/>
        </w:rPr>
        <w:t xml:space="preserve">(исплатата е направена </w:t>
      </w:r>
      <w:r w:rsidRPr="00352713">
        <w:rPr>
          <w:sz w:val="18"/>
          <w:szCs w:val="18"/>
          <w:lang w:val="mk-MK"/>
        </w:rPr>
        <w:t>во април 2013 година</w:t>
      </w:r>
      <w:r>
        <w:rPr>
          <w:sz w:val="18"/>
          <w:szCs w:val="18"/>
          <w:lang w:val="mk-MK"/>
        </w:rPr>
        <w:t>).</w:t>
      </w:r>
    </w:p>
  </w:footnote>
  <w:footnote w:id="16">
    <w:p w:rsidR="006F63B5" w:rsidRPr="00B92E0D" w:rsidRDefault="006F63B5" w:rsidP="00B92E0D">
      <w:pPr>
        <w:pStyle w:val="FootnoteText"/>
        <w:ind w:left="-4536"/>
        <w:rPr>
          <w:sz w:val="18"/>
          <w:szCs w:val="18"/>
          <w:lang w:val="mk-MK"/>
        </w:rPr>
      </w:pPr>
      <w:r w:rsidRPr="00B92E0D">
        <w:rPr>
          <w:rStyle w:val="FootnoteReference"/>
          <w:sz w:val="18"/>
          <w:szCs w:val="18"/>
        </w:rPr>
        <w:footnoteRef/>
      </w:r>
      <w:r w:rsidRPr="00B92E0D">
        <w:rPr>
          <w:sz w:val="18"/>
          <w:szCs w:val="18"/>
        </w:rPr>
        <w:t xml:space="preserve"> </w:t>
      </w:r>
      <w:r>
        <w:rPr>
          <w:sz w:val="18"/>
          <w:szCs w:val="18"/>
          <w:lang w:val="mk-MK"/>
        </w:rPr>
        <w:t>Вкупната кредитна изложеност ги опфаќа билансните (кредити, камати, провизии, финансиски лизинг, вложувања во хартии од вредност коишто се расположливи за продажба или се чуваат до достасување и слично) и вонбилансните побарувања (неискористени рамковни кредити, неискористени кредити врз основа на дозволени пречекорувања на тековни сметки и врз основа на кредитни картички, акредитиви, гаранции и други слични потенцијални обврски за банката), коишто ја изложуваат банката на кредитен ризик.</w:t>
      </w:r>
    </w:p>
  </w:footnote>
  <w:footnote w:id="17">
    <w:p w:rsidR="006F63B5" w:rsidRPr="00F203C1" w:rsidRDefault="006F63B5" w:rsidP="00695A19">
      <w:pPr>
        <w:pStyle w:val="FootnoteText"/>
        <w:ind w:left="-4500"/>
        <w:rPr>
          <w:sz w:val="18"/>
          <w:szCs w:val="18"/>
          <w:lang w:val="mk-MK"/>
        </w:rPr>
      </w:pPr>
      <w:r w:rsidRPr="00F203C1">
        <w:rPr>
          <w:rStyle w:val="FootnoteReference"/>
          <w:sz w:val="18"/>
          <w:szCs w:val="18"/>
        </w:rPr>
        <w:footnoteRef/>
      </w:r>
      <w:r w:rsidRPr="00D22DB7">
        <w:rPr>
          <w:sz w:val="18"/>
          <w:szCs w:val="18"/>
          <w:lang w:val="mk-MK"/>
        </w:rPr>
        <w:t xml:space="preserve"> </w:t>
      </w:r>
      <w:r>
        <w:rPr>
          <w:sz w:val="18"/>
          <w:szCs w:val="18"/>
          <w:lang w:val="mk-MK"/>
        </w:rPr>
        <w:t>Кредитната изложеност кон финансиските институции се зголеми за 879 милиони денари (1,2%).</w:t>
      </w:r>
    </w:p>
  </w:footnote>
  <w:footnote w:id="18">
    <w:p w:rsidR="006F63B5" w:rsidRPr="00303B89" w:rsidRDefault="006F63B5" w:rsidP="00D41027">
      <w:pPr>
        <w:pStyle w:val="FootnoteText"/>
        <w:ind w:left="-4500"/>
        <w:rPr>
          <w:sz w:val="18"/>
          <w:szCs w:val="18"/>
          <w:lang w:val="mk-MK"/>
        </w:rPr>
      </w:pPr>
      <w:r w:rsidRPr="00C5465C">
        <w:rPr>
          <w:rStyle w:val="FootnoteReference"/>
          <w:sz w:val="18"/>
          <w:szCs w:val="18"/>
        </w:rPr>
        <w:footnoteRef/>
      </w:r>
      <w:r w:rsidRPr="00D22DB7">
        <w:rPr>
          <w:sz w:val="18"/>
          <w:szCs w:val="18"/>
          <w:lang w:val="mk-MK"/>
        </w:rPr>
        <w:t xml:space="preserve"> </w:t>
      </w:r>
      <w:r w:rsidRPr="00C5465C">
        <w:rPr>
          <w:rFonts w:cs="Tahoma"/>
          <w:sz w:val="18"/>
          <w:szCs w:val="18"/>
          <w:lang w:val="mk-MK"/>
        </w:rPr>
        <w:t>Во натамошниот текст</w:t>
      </w:r>
      <w:r w:rsidRPr="00D22DB7">
        <w:rPr>
          <w:rFonts w:cs="Tahoma"/>
          <w:sz w:val="18"/>
          <w:szCs w:val="18"/>
          <w:lang w:val="mk-MK"/>
        </w:rPr>
        <w:t xml:space="preserve">: </w:t>
      </w:r>
      <w:r w:rsidRPr="00C5465C">
        <w:rPr>
          <w:rFonts w:cs="Tahoma"/>
          <w:sz w:val="18"/>
          <w:szCs w:val="18"/>
          <w:lang w:val="mk-MK"/>
        </w:rPr>
        <w:t>претпријатијата</w:t>
      </w:r>
      <w:r w:rsidRPr="00D22DB7">
        <w:rPr>
          <w:rFonts w:cs="Tahoma"/>
          <w:sz w:val="18"/>
          <w:szCs w:val="18"/>
          <w:lang w:val="mk-MK"/>
        </w:rPr>
        <w:t>.</w:t>
      </w:r>
    </w:p>
  </w:footnote>
  <w:footnote w:id="19">
    <w:p w:rsidR="006F63B5" w:rsidRPr="00F95F96" w:rsidRDefault="006F63B5" w:rsidP="00D41027">
      <w:pPr>
        <w:pStyle w:val="FootnoteText"/>
        <w:ind w:left="-4500"/>
        <w:rPr>
          <w:sz w:val="18"/>
          <w:szCs w:val="18"/>
          <w:lang w:val="mk-MK"/>
        </w:rPr>
      </w:pPr>
      <w:r w:rsidRPr="00F95F96">
        <w:rPr>
          <w:rStyle w:val="FootnoteReference"/>
          <w:sz w:val="18"/>
          <w:szCs w:val="18"/>
        </w:rPr>
        <w:footnoteRef/>
      </w:r>
      <w:r w:rsidRPr="00D22DB7">
        <w:rPr>
          <w:sz w:val="18"/>
          <w:szCs w:val="18"/>
          <w:lang w:val="mk-MK"/>
        </w:rPr>
        <w:t xml:space="preserve"> </w:t>
      </w:r>
      <w:r>
        <w:rPr>
          <w:sz w:val="18"/>
          <w:szCs w:val="18"/>
          <w:lang w:val="mk-MK"/>
        </w:rPr>
        <w:t xml:space="preserve">Во мај 2013 година, годишната стапка на раст на нефункционалните кредити изнесува 22,7%. </w:t>
      </w:r>
    </w:p>
  </w:footnote>
  <w:footnote w:id="20">
    <w:p w:rsidR="006F63B5" w:rsidRPr="000E67A7" w:rsidRDefault="006F63B5" w:rsidP="00D41027">
      <w:pPr>
        <w:pStyle w:val="FootnoteText"/>
        <w:ind w:left="-4500"/>
        <w:rPr>
          <w:sz w:val="18"/>
          <w:szCs w:val="18"/>
          <w:lang w:val="mk-MK"/>
        </w:rPr>
      </w:pPr>
      <w:r w:rsidRPr="000E67A7">
        <w:rPr>
          <w:rStyle w:val="FootnoteReference"/>
          <w:sz w:val="18"/>
          <w:szCs w:val="18"/>
        </w:rPr>
        <w:footnoteRef/>
      </w:r>
      <w:r w:rsidRPr="00D22DB7">
        <w:rPr>
          <w:sz w:val="18"/>
          <w:szCs w:val="18"/>
          <w:lang w:val="mk-MK"/>
        </w:rPr>
        <w:t xml:space="preserve"> </w:t>
      </w:r>
      <w:r>
        <w:rPr>
          <w:sz w:val="18"/>
          <w:szCs w:val="18"/>
          <w:lang w:val="mk-MK"/>
        </w:rPr>
        <w:t xml:space="preserve">Реструктурирање на побарувањето значи воспоставување нова кредитна изложеност од страна на банката за замена на веќе постоечката, при што се настанати значителни измени на договорните услови коишто се резултат на влошената финансиска состојба на кредитокорисникот. </w:t>
      </w:r>
    </w:p>
  </w:footnote>
  <w:footnote w:id="21">
    <w:p w:rsidR="006F63B5" w:rsidRPr="00127F03" w:rsidRDefault="006F63B5" w:rsidP="00127F03">
      <w:pPr>
        <w:pStyle w:val="FootnoteText"/>
        <w:ind w:left="-4536"/>
        <w:rPr>
          <w:sz w:val="18"/>
          <w:szCs w:val="18"/>
          <w:lang w:val="mk-MK"/>
        </w:rPr>
      </w:pPr>
      <w:r w:rsidRPr="00127F03">
        <w:rPr>
          <w:rStyle w:val="FootnoteReference"/>
          <w:sz w:val="18"/>
          <w:szCs w:val="18"/>
        </w:rPr>
        <w:footnoteRef/>
      </w:r>
      <w:r w:rsidRPr="00127F03">
        <w:rPr>
          <w:sz w:val="18"/>
          <w:szCs w:val="18"/>
        </w:rPr>
        <w:t xml:space="preserve"> </w:t>
      </w:r>
      <w:r>
        <w:rPr>
          <w:sz w:val="18"/>
          <w:szCs w:val="18"/>
          <w:lang w:val="mk-MK"/>
        </w:rPr>
        <w:t xml:space="preserve">Пролонгирање на побарувањето претставува продолжување на неговиот рок на достасување, коешто не е резултат на влошена финансиска состојба на клиентот. </w:t>
      </w:r>
    </w:p>
  </w:footnote>
  <w:footnote w:id="22">
    <w:p w:rsidR="006F63B5" w:rsidRDefault="006F63B5">
      <w:pPr>
        <w:pStyle w:val="FootnoteText"/>
        <w:ind w:left="-4536"/>
        <w:rPr>
          <w:sz w:val="18"/>
          <w:szCs w:val="18"/>
          <w:lang w:val="mk-MK"/>
        </w:rPr>
      </w:pPr>
      <w:r w:rsidRPr="002608EA">
        <w:rPr>
          <w:rStyle w:val="FootnoteReference"/>
          <w:sz w:val="18"/>
          <w:szCs w:val="18"/>
        </w:rPr>
        <w:footnoteRef/>
      </w:r>
      <w:r w:rsidRPr="00D22DB7">
        <w:rPr>
          <w:sz w:val="18"/>
          <w:szCs w:val="18"/>
          <w:lang w:val="mk-MK"/>
        </w:rPr>
        <w:t xml:space="preserve"> </w:t>
      </w:r>
      <w:r w:rsidRPr="002608EA">
        <w:rPr>
          <w:sz w:val="18"/>
          <w:szCs w:val="18"/>
          <w:lang w:val="mk-MK"/>
        </w:rPr>
        <w:t xml:space="preserve">Ова намалување речиси во целост се должи на преносот на </w:t>
      </w:r>
      <w:r w:rsidRPr="002608EA">
        <w:rPr>
          <w:rFonts w:cs="Tahoma"/>
          <w:sz w:val="18"/>
          <w:szCs w:val="18"/>
          <w:lang w:val="mk-MK"/>
        </w:rPr>
        <w:t xml:space="preserve">кредитните изложености кон претпријатијата класифицирани во категоријата „Б“ во </w:t>
      </w:r>
      <w:r>
        <w:rPr>
          <w:rFonts w:cs="Tahoma"/>
          <w:sz w:val="18"/>
          <w:szCs w:val="18"/>
          <w:lang w:val="mk-MK"/>
        </w:rPr>
        <w:t xml:space="preserve">изложености со </w:t>
      </w:r>
      <w:r w:rsidRPr="002608EA">
        <w:rPr>
          <w:rFonts w:cs="Tahoma"/>
          <w:sz w:val="18"/>
          <w:szCs w:val="18"/>
          <w:lang w:val="mk-MK"/>
        </w:rPr>
        <w:t>нефункционален статус</w:t>
      </w:r>
      <w:r>
        <w:rPr>
          <w:rFonts w:cs="Tahoma"/>
          <w:sz w:val="18"/>
          <w:szCs w:val="18"/>
          <w:lang w:val="mk-MK"/>
        </w:rPr>
        <w:t>.</w:t>
      </w:r>
    </w:p>
  </w:footnote>
  <w:footnote w:id="23">
    <w:p w:rsidR="006F63B5" w:rsidRPr="00CF2E40" w:rsidRDefault="006F63B5" w:rsidP="00FE16F9">
      <w:pPr>
        <w:pStyle w:val="FootnoteText"/>
        <w:ind w:left="-4536"/>
        <w:rPr>
          <w:sz w:val="18"/>
          <w:szCs w:val="18"/>
          <w:lang w:val="mk-MK"/>
        </w:rPr>
      </w:pPr>
      <w:r>
        <w:rPr>
          <w:rStyle w:val="FootnoteReference"/>
        </w:rPr>
        <w:footnoteRef/>
      </w:r>
      <w:r w:rsidRPr="00D22DB7">
        <w:rPr>
          <w:lang w:val="mk-MK"/>
        </w:rPr>
        <w:t xml:space="preserve"> </w:t>
      </w:r>
      <w:r>
        <w:rPr>
          <w:sz w:val="18"/>
          <w:szCs w:val="18"/>
          <w:lang w:val="mk-MK"/>
        </w:rPr>
        <w:t>Доколку се земе предвид бројот на кредитни партии со редовен статус коишто на крајот од кварталот добиле нефункционален статус, тогаш може да се утврди намалување на процентот на премин во однос на 31.12.2012 година, од 2,2% на 1,2%, но пред с</w:t>
      </w:r>
      <w:r>
        <w:rPr>
          <w:rFonts w:cs="Tahoma"/>
          <w:sz w:val="18"/>
          <w:szCs w:val="18"/>
          <w:lang w:val="mk-MK"/>
        </w:rPr>
        <w:t>ѐ</w:t>
      </w:r>
      <w:r>
        <w:rPr>
          <w:sz w:val="18"/>
          <w:szCs w:val="18"/>
          <w:lang w:val="mk-MK"/>
        </w:rPr>
        <w:t xml:space="preserve"> поради намалувањето на кредитните партии на домаќинствата коишто добиле нефункционален статус на крајот на првиот квартал од 2013 година (од 2,1% на 1,0%). Кај претпријатијата е остварен раст на кредитните партии коишто преминале во нефункционални кредитни изложености (од 4,2% на 31.12.2012 година на 6,1% на 31.3.2013 година).</w:t>
      </w:r>
    </w:p>
  </w:footnote>
  <w:footnote w:id="24">
    <w:p w:rsidR="006F63B5" w:rsidRPr="00E9404E" w:rsidRDefault="006F63B5" w:rsidP="00E9404E">
      <w:pPr>
        <w:pStyle w:val="FootnoteText"/>
        <w:ind w:left="-4536"/>
        <w:rPr>
          <w:sz w:val="18"/>
          <w:szCs w:val="18"/>
          <w:lang w:val="mk-MK"/>
        </w:rPr>
      </w:pPr>
      <w:r w:rsidRPr="00E9404E">
        <w:rPr>
          <w:rStyle w:val="FootnoteReference"/>
          <w:sz w:val="18"/>
          <w:szCs w:val="18"/>
        </w:rPr>
        <w:footnoteRef/>
      </w:r>
      <w:r w:rsidRPr="00D22DB7">
        <w:rPr>
          <w:sz w:val="18"/>
          <w:szCs w:val="18"/>
          <w:lang w:val="mk-MK"/>
        </w:rPr>
        <w:t xml:space="preserve"> </w:t>
      </w:r>
      <w:r w:rsidRPr="00E9404E">
        <w:rPr>
          <w:sz w:val="18"/>
          <w:szCs w:val="18"/>
          <w:lang w:val="mk-MK"/>
        </w:rPr>
        <w:t>Истите изложености коишто се најголема причина за растот на нефункционалните кредити.</w:t>
      </w:r>
    </w:p>
  </w:footnote>
  <w:footnote w:id="25">
    <w:p w:rsidR="006F63B5" w:rsidRPr="007F484A" w:rsidRDefault="006F63B5" w:rsidP="00D41027">
      <w:pPr>
        <w:pStyle w:val="FootnoteText"/>
        <w:ind w:left="-4500"/>
        <w:rPr>
          <w:sz w:val="18"/>
          <w:szCs w:val="18"/>
          <w:lang w:val="mk-MK"/>
        </w:rPr>
      </w:pPr>
      <w:r w:rsidRPr="007F484A">
        <w:rPr>
          <w:rStyle w:val="FootnoteReference"/>
          <w:sz w:val="18"/>
          <w:szCs w:val="18"/>
        </w:rPr>
        <w:footnoteRef/>
      </w:r>
      <w:r w:rsidRPr="00D22DB7">
        <w:rPr>
          <w:sz w:val="18"/>
          <w:szCs w:val="18"/>
          <w:lang w:val="mk-MK"/>
        </w:rPr>
        <w:t xml:space="preserve"> </w:t>
      </w:r>
      <w:r>
        <w:rPr>
          <w:sz w:val="18"/>
          <w:szCs w:val="18"/>
          <w:lang w:val="mk-MK"/>
        </w:rPr>
        <w:t xml:space="preserve">Согласно со регулативата, голема изложеност кон лице и лицата поврзани со него претставува изложеност еднаква или повисока од 10% од сопствените средства на банката. Вкупниот износ на големи изложености не смее да го надмине осумкратниот износ на сопствените средства на банката.  </w:t>
      </w:r>
    </w:p>
  </w:footnote>
  <w:footnote w:id="26">
    <w:p w:rsidR="006F63B5" w:rsidRPr="00E567FA" w:rsidRDefault="006F63B5" w:rsidP="00D41027">
      <w:pPr>
        <w:pStyle w:val="FootnoteText"/>
        <w:ind w:left="-4500"/>
        <w:rPr>
          <w:sz w:val="18"/>
          <w:szCs w:val="18"/>
          <w:lang w:val="mk-MK"/>
        </w:rPr>
      </w:pPr>
      <w:r w:rsidRPr="00E567FA">
        <w:rPr>
          <w:rStyle w:val="FootnoteReference"/>
          <w:sz w:val="18"/>
          <w:szCs w:val="18"/>
        </w:rPr>
        <w:footnoteRef/>
      </w:r>
      <w:r w:rsidRPr="00D22DB7">
        <w:rPr>
          <w:sz w:val="18"/>
          <w:szCs w:val="18"/>
          <w:lang w:val="mk-MK"/>
        </w:rPr>
        <w:t xml:space="preserve"> </w:t>
      </w:r>
      <w:r>
        <w:rPr>
          <w:sz w:val="18"/>
          <w:szCs w:val="18"/>
          <w:lang w:val="mk-MK"/>
        </w:rPr>
        <w:t xml:space="preserve">Во анализата се исклучени сопствените средства на пет банки кои немаат големи изложености кон нефинансиските субјекти. </w:t>
      </w:r>
    </w:p>
  </w:footnote>
  <w:footnote w:id="27">
    <w:p w:rsidR="006F63B5" w:rsidRPr="00170B1E" w:rsidRDefault="006F63B5" w:rsidP="00D41027">
      <w:pPr>
        <w:pStyle w:val="FootnoteText"/>
        <w:ind w:left="-4500"/>
        <w:rPr>
          <w:sz w:val="18"/>
          <w:szCs w:val="18"/>
          <w:lang w:val="mk-MK"/>
        </w:rPr>
      </w:pPr>
      <w:r w:rsidRPr="00170B1E">
        <w:rPr>
          <w:rStyle w:val="FootnoteReference"/>
          <w:sz w:val="18"/>
          <w:szCs w:val="18"/>
        </w:rPr>
        <w:footnoteRef/>
      </w:r>
      <w:r w:rsidRPr="00D22DB7">
        <w:rPr>
          <w:sz w:val="18"/>
          <w:szCs w:val="18"/>
          <w:lang w:val="mk-MK"/>
        </w:rPr>
        <w:t xml:space="preserve"> </w:t>
      </w:r>
      <w:r>
        <w:rPr>
          <w:sz w:val="18"/>
          <w:szCs w:val="18"/>
          <w:lang w:val="mk-MK"/>
        </w:rPr>
        <w:t>Кај домаќинствата, учеството на кредитите со еднократна отплата на главница во вкупните кредити изнесува 0,4%.</w:t>
      </w:r>
    </w:p>
  </w:footnote>
  <w:footnote w:id="28">
    <w:p w:rsidR="006F63B5" w:rsidRPr="00722D22" w:rsidRDefault="006F63B5" w:rsidP="00D41027">
      <w:pPr>
        <w:pStyle w:val="FootnoteText"/>
        <w:ind w:left="-4500"/>
        <w:rPr>
          <w:sz w:val="18"/>
          <w:szCs w:val="18"/>
          <w:lang w:val="mk-MK"/>
        </w:rPr>
      </w:pPr>
      <w:r w:rsidRPr="00722D22">
        <w:rPr>
          <w:rStyle w:val="FootnoteReference"/>
          <w:sz w:val="18"/>
          <w:szCs w:val="18"/>
        </w:rPr>
        <w:footnoteRef/>
      </w:r>
      <w:r w:rsidRPr="00D22DB7">
        <w:rPr>
          <w:sz w:val="18"/>
          <w:szCs w:val="18"/>
          <w:lang w:val="mk-MK"/>
        </w:rPr>
        <w:t xml:space="preserve"> </w:t>
      </w:r>
      <w:r>
        <w:rPr>
          <w:sz w:val="18"/>
          <w:szCs w:val="18"/>
          <w:lang w:val="mk-MK"/>
        </w:rPr>
        <w:t xml:space="preserve">Најголем дел од наплатите на оваа кредитна изложеност се покриени со месечните примања на кредитокорисниците. </w:t>
      </w:r>
    </w:p>
  </w:footnote>
  <w:footnote w:id="29">
    <w:p w:rsidR="006F63B5" w:rsidRPr="00854067" w:rsidRDefault="006F63B5" w:rsidP="00D41027">
      <w:pPr>
        <w:pStyle w:val="FootnoteText"/>
        <w:ind w:left="-4536"/>
        <w:rPr>
          <w:sz w:val="18"/>
          <w:szCs w:val="18"/>
          <w:lang w:val="mk-MK"/>
        </w:rPr>
      </w:pPr>
      <w:r w:rsidRPr="00854067">
        <w:rPr>
          <w:rStyle w:val="FootnoteReference"/>
          <w:sz w:val="18"/>
          <w:szCs w:val="18"/>
        </w:rPr>
        <w:footnoteRef/>
      </w:r>
      <w:r w:rsidRPr="00D22DB7">
        <w:rPr>
          <w:sz w:val="18"/>
          <w:szCs w:val="18"/>
          <w:lang w:val="mk-MK"/>
        </w:rPr>
        <w:t xml:space="preserve"> </w:t>
      </w:r>
      <w:r w:rsidRPr="00854067">
        <w:rPr>
          <w:rFonts w:cs="Tahoma"/>
          <w:sz w:val="18"/>
          <w:szCs w:val="18"/>
          <w:lang w:val="mk-MK"/>
        </w:rPr>
        <w:t>Ликвидн</w:t>
      </w:r>
      <w:r>
        <w:rPr>
          <w:rFonts w:cs="Tahoma"/>
          <w:sz w:val="18"/>
          <w:szCs w:val="18"/>
          <w:lang w:val="mk-MK"/>
        </w:rPr>
        <w:t>ите</w:t>
      </w:r>
      <w:r w:rsidRPr="00854067">
        <w:rPr>
          <w:rFonts w:cs="Tahoma"/>
          <w:sz w:val="18"/>
          <w:szCs w:val="18"/>
          <w:lang w:val="mk-MK"/>
        </w:rPr>
        <w:t xml:space="preserve"> </w:t>
      </w:r>
      <w:r>
        <w:rPr>
          <w:rFonts w:cs="Tahoma"/>
          <w:sz w:val="18"/>
          <w:szCs w:val="18"/>
          <w:lang w:val="mk-MK"/>
        </w:rPr>
        <w:t>средства</w:t>
      </w:r>
      <w:r w:rsidRPr="00854067">
        <w:rPr>
          <w:rFonts w:cs="Tahoma"/>
          <w:sz w:val="18"/>
          <w:szCs w:val="18"/>
          <w:lang w:val="mk-MK"/>
        </w:rPr>
        <w:t xml:space="preserve"> ги опфаќа</w:t>
      </w:r>
      <w:r>
        <w:rPr>
          <w:rFonts w:cs="Tahoma"/>
          <w:sz w:val="18"/>
          <w:szCs w:val="18"/>
          <w:lang w:val="mk-MK"/>
        </w:rPr>
        <w:t>ат</w:t>
      </w:r>
      <w:r w:rsidRPr="00854067">
        <w:rPr>
          <w:rFonts w:cs="Tahoma"/>
          <w:sz w:val="18"/>
          <w:szCs w:val="18"/>
          <w:lang w:val="mk-MK"/>
        </w:rPr>
        <w:t xml:space="preserve"> паричните средства и средствата на сметките кај Народната банка, благајничките записи на Народната банка, кореспондентнит</w:t>
      </w:r>
      <w:r>
        <w:rPr>
          <w:rFonts w:cs="Tahoma"/>
          <w:sz w:val="18"/>
          <w:szCs w:val="18"/>
          <w:lang w:val="mk-MK"/>
        </w:rPr>
        <w:t>е сметки и краткорочните депозит</w:t>
      </w:r>
      <w:r w:rsidRPr="00854067">
        <w:rPr>
          <w:rFonts w:cs="Tahoma"/>
          <w:sz w:val="18"/>
          <w:szCs w:val="18"/>
          <w:lang w:val="mk-MK"/>
        </w:rPr>
        <w:t>и кај странски</w:t>
      </w:r>
      <w:r>
        <w:rPr>
          <w:rFonts w:cs="Tahoma"/>
          <w:sz w:val="18"/>
          <w:szCs w:val="18"/>
          <w:lang w:val="mk-MK"/>
        </w:rPr>
        <w:t>те</w:t>
      </w:r>
      <w:r w:rsidRPr="00854067">
        <w:rPr>
          <w:rFonts w:cs="Tahoma"/>
          <w:sz w:val="18"/>
          <w:szCs w:val="18"/>
          <w:lang w:val="mk-MK"/>
        </w:rPr>
        <w:t xml:space="preserve"> банки и пласманите во краткорочни хартии од вредност издадени од државата</w:t>
      </w:r>
      <w:r>
        <w:rPr>
          <w:rFonts w:cs="Tahoma"/>
          <w:sz w:val="18"/>
          <w:szCs w:val="18"/>
          <w:lang w:val="mk-MK"/>
        </w:rPr>
        <w:t>. За потребите на анализата на ликвидноста, средствата и обврските во денари со девизна клаузула се сметаат како денарски.</w:t>
      </w:r>
    </w:p>
  </w:footnote>
  <w:footnote w:id="30">
    <w:p w:rsidR="006F63B5" w:rsidRPr="00303B89" w:rsidRDefault="006F63B5" w:rsidP="00D41027">
      <w:pPr>
        <w:pStyle w:val="FootnoteText"/>
        <w:ind w:left="-4536"/>
        <w:rPr>
          <w:lang w:val="mk-MK"/>
        </w:rPr>
      </w:pPr>
      <w:r>
        <w:rPr>
          <w:rStyle w:val="FootnoteReference"/>
        </w:rPr>
        <w:footnoteRef/>
      </w:r>
      <w:r w:rsidRPr="00D22DB7">
        <w:rPr>
          <w:lang w:val="mk-MK"/>
        </w:rPr>
        <w:t xml:space="preserve"> </w:t>
      </w:r>
      <w:r w:rsidR="003871F7" w:rsidRPr="003871F7">
        <w:rPr>
          <w:sz w:val="18"/>
          <w:szCs w:val="18"/>
          <w:lang w:val="mk-MK"/>
        </w:rPr>
        <w:t>П</w:t>
      </w:r>
      <w:r w:rsidR="003871F7" w:rsidRPr="003871F7">
        <w:rPr>
          <w:rFonts w:cs="Tahoma"/>
          <w:sz w:val="18"/>
          <w:szCs w:val="18"/>
          <w:lang w:val="mk-MK"/>
        </w:rPr>
        <w:t>росекот за четвртиот квартал на 2012 година изнесуваше 45,8%.</w:t>
      </w:r>
    </w:p>
  </w:footnote>
  <w:footnote w:id="31">
    <w:p w:rsidR="006F63B5" w:rsidRPr="00076834" w:rsidRDefault="006F63B5" w:rsidP="00D41027">
      <w:pPr>
        <w:pStyle w:val="FootnoteText"/>
        <w:ind w:left="-4500"/>
        <w:rPr>
          <w:sz w:val="18"/>
          <w:szCs w:val="18"/>
          <w:lang w:val="mk-MK"/>
        </w:rPr>
      </w:pPr>
      <w:r w:rsidRPr="00076834">
        <w:rPr>
          <w:rStyle w:val="FootnoteReference"/>
          <w:sz w:val="18"/>
          <w:szCs w:val="18"/>
        </w:rPr>
        <w:footnoteRef/>
      </w:r>
      <w:r w:rsidRPr="00D22DB7">
        <w:rPr>
          <w:sz w:val="18"/>
          <w:szCs w:val="18"/>
          <w:lang w:val="mk-MK"/>
        </w:rPr>
        <w:t xml:space="preserve"> </w:t>
      </w:r>
      <w:r>
        <w:rPr>
          <w:rFonts w:cs="Tahoma"/>
          <w:sz w:val="18"/>
          <w:szCs w:val="18"/>
          <w:lang w:val="mk-MK"/>
        </w:rPr>
        <w:t xml:space="preserve">При пресметката на </w:t>
      </w:r>
      <w:r w:rsidRPr="00076834">
        <w:rPr>
          <w:rFonts w:cs="Tahoma"/>
          <w:sz w:val="18"/>
          <w:szCs w:val="18"/>
          <w:lang w:val="mk-MK"/>
        </w:rPr>
        <w:t>показателите за ликвидноста</w:t>
      </w:r>
      <w:r>
        <w:rPr>
          <w:rFonts w:cs="Tahoma"/>
          <w:sz w:val="18"/>
          <w:szCs w:val="18"/>
          <w:lang w:val="mk-MK"/>
        </w:rPr>
        <w:t xml:space="preserve"> на ниво на банкарскиот систем</w:t>
      </w:r>
      <w:r w:rsidRPr="00076834">
        <w:rPr>
          <w:rFonts w:cs="Tahoma"/>
          <w:sz w:val="18"/>
          <w:szCs w:val="18"/>
          <w:lang w:val="mk-MK"/>
        </w:rPr>
        <w:t xml:space="preserve"> не се</w:t>
      </w:r>
      <w:r>
        <w:rPr>
          <w:rFonts w:cs="Tahoma"/>
          <w:sz w:val="18"/>
          <w:szCs w:val="18"/>
          <w:lang w:val="mk-MK"/>
        </w:rPr>
        <w:t xml:space="preserve"> земени предвид резидентните меѓубанкарски средства и обврски</w:t>
      </w:r>
      <w:r w:rsidRPr="00076834">
        <w:rPr>
          <w:rFonts w:cs="Tahoma"/>
          <w:sz w:val="18"/>
          <w:szCs w:val="18"/>
          <w:lang w:val="mk-MK"/>
        </w:rPr>
        <w:t>.</w:t>
      </w:r>
    </w:p>
  </w:footnote>
  <w:footnote w:id="32">
    <w:p w:rsidR="006F63B5" w:rsidRPr="00663AD6" w:rsidRDefault="006F63B5" w:rsidP="00D41027">
      <w:pPr>
        <w:pStyle w:val="FootnoteText"/>
        <w:ind w:left="-4395"/>
        <w:rPr>
          <w:sz w:val="18"/>
          <w:szCs w:val="18"/>
          <w:lang w:val="mk-MK"/>
        </w:rPr>
      </w:pPr>
      <w:r w:rsidRPr="00663AD6">
        <w:rPr>
          <w:rStyle w:val="FootnoteReference"/>
          <w:sz w:val="18"/>
          <w:szCs w:val="18"/>
        </w:rPr>
        <w:footnoteRef/>
      </w:r>
      <w:r w:rsidRPr="00D22DB7">
        <w:rPr>
          <w:sz w:val="18"/>
          <w:szCs w:val="18"/>
          <w:lang w:val="mk-MK"/>
        </w:rPr>
        <w:t xml:space="preserve"> </w:t>
      </w:r>
      <w:r>
        <w:rPr>
          <w:sz w:val="18"/>
          <w:szCs w:val="18"/>
          <w:lang w:val="mk-MK"/>
        </w:rPr>
        <w:t>Паричните приливи и паричните одливи на банките во 201</w:t>
      </w:r>
      <w:r>
        <w:rPr>
          <w:sz w:val="18"/>
          <w:szCs w:val="18"/>
        </w:rPr>
        <w:t>3</w:t>
      </w:r>
      <w:r>
        <w:rPr>
          <w:sz w:val="18"/>
          <w:szCs w:val="18"/>
          <w:lang w:val="mk-MK"/>
        </w:rPr>
        <w:t xml:space="preserve"> година се добиени по индиректен пат, односно преку промената на салдата на одделните сметки од билансот на банките. </w:t>
      </w:r>
      <w:r w:rsidRPr="00663AD6">
        <w:rPr>
          <w:sz w:val="18"/>
          <w:szCs w:val="18"/>
          <w:lang w:val="mk-MK"/>
        </w:rPr>
        <w:t>Ефектот врз паричните текови на банките</w:t>
      </w:r>
      <w:r>
        <w:rPr>
          <w:sz w:val="18"/>
          <w:szCs w:val="18"/>
          <w:lang w:val="mk-MK"/>
        </w:rPr>
        <w:t>,</w:t>
      </w:r>
      <w:r w:rsidRPr="00663AD6">
        <w:rPr>
          <w:sz w:val="18"/>
          <w:szCs w:val="18"/>
          <w:lang w:val="mk-MK"/>
        </w:rPr>
        <w:t xml:space="preserve"> којшто се должи на расходите и приходите кои</w:t>
      </w:r>
      <w:r>
        <w:rPr>
          <w:sz w:val="18"/>
          <w:szCs w:val="18"/>
          <w:lang w:val="mk-MK"/>
        </w:rPr>
        <w:t>што</w:t>
      </w:r>
      <w:r w:rsidRPr="00663AD6">
        <w:rPr>
          <w:sz w:val="18"/>
          <w:szCs w:val="18"/>
          <w:lang w:val="mk-MK"/>
        </w:rPr>
        <w:t xml:space="preserve"> не претставуваат паричен</w:t>
      </w:r>
      <w:r>
        <w:rPr>
          <w:sz w:val="18"/>
          <w:szCs w:val="18"/>
          <w:lang w:val="mk-MK"/>
        </w:rPr>
        <w:t xml:space="preserve"> одлив</w:t>
      </w:r>
      <w:r w:rsidRPr="00663AD6">
        <w:rPr>
          <w:sz w:val="18"/>
          <w:szCs w:val="18"/>
          <w:lang w:val="mk-MK"/>
        </w:rPr>
        <w:t xml:space="preserve"> или</w:t>
      </w:r>
      <w:r>
        <w:rPr>
          <w:sz w:val="18"/>
          <w:szCs w:val="18"/>
          <w:lang w:val="mk-MK"/>
        </w:rPr>
        <w:t xml:space="preserve"> </w:t>
      </w:r>
      <w:r w:rsidRPr="00663AD6">
        <w:rPr>
          <w:sz w:val="18"/>
          <w:szCs w:val="18"/>
          <w:lang w:val="mk-MK"/>
        </w:rPr>
        <w:t>прилив (</w:t>
      </w:r>
      <w:r>
        <w:rPr>
          <w:sz w:val="18"/>
          <w:szCs w:val="18"/>
          <w:lang w:val="mk-MK"/>
        </w:rPr>
        <w:t xml:space="preserve">на пример: </w:t>
      </w:r>
      <w:r w:rsidRPr="00663AD6">
        <w:rPr>
          <w:sz w:val="18"/>
          <w:szCs w:val="18"/>
          <w:lang w:val="mk-MK"/>
        </w:rPr>
        <w:t xml:space="preserve">отписи на </w:t>
      </w:r>
      <w:r w:rsidRPr="009134D4">
        <w:rPr>
          <w:sz w:val="18"/>
          <w:szCs w:val="18"/>
          <w:lang w:val="mk-MK"/>
        </w:rPr>
        <w:t>кредити, ревалоризација на хартии од вредност коишто се расположливи за продажба или се чуваат за тргување, амортизација на основните средства, нето курсни разлики итн.) е составен дел на промената на соодветните билансни ставки на кои се однесува соодветниот пр</w:t>
      </w:r>
      <w:r>
        <w:rPr>
          <w:sz w:val="18"/>
          <w:szCs w:val="18"/>
          <w:lang w:val="mk-MK"/>
        </w:rPr>
        <w:t>илив</w:t>
      </w:r>
      <w:r w:rsidRPr="009134D4">
        <w:rPr>
          <w:sz w:val="18"/>
          <w:szCs w:val="18"/>
          <w:lang w:val="mk-MK"/>
        </w:rPr>
        <w:t xml:space="preserve"> или </w:t>
      </w:r>
      <w:r>
        <w:rPr>
          <w:sz w:val="18"/>
          <w:szCs w:val="18"/>
          <w:lang w:val="mk-MK"/>
        </w:rPr>
        <w:t>одлив</w:t>
      </w:r>
      <w:r w:rsidRPr="009134D4">
        <w:rPr>
          <w:sz w:val="18"/>
          <w:szCs w:val="18"/>
          <w:lang w:val="mk-MK"/>
        </w:rPr>
        <w:t>.</w:t>
      </w:r>
      <w:r w:rsidRPr="00663AD6">
        <w:rPr>
          <w:sz w:val="18"/>
          <w:szCs w:val="18"/>
          <w:lang w:val="mk-MK"/>
        </w:rPr>
        <w:t xml:space="preserve"> </w:t>
      </w:r>
      <w:r>
        <w:rPr>
          <w:sz w:val="18"/>
          <w:szCs w:val="18"/>
          <w:lang w:val="mk-MK"/>
        </w:rPr>
        <w:t xml:space="preserve"> </w:t>
      </w:r>
    </w:p>
  </w:footnote>
  <w:footnote w:id="33">
    <w:p w:rsidR="006F63B5" w:rsidRPr="00EF7752" w:rsidRDefault="006F63B5" w:rsidP="00D41027">
      <w:pPr>
        <w:pStyle w:val="FootnoteText"/>
        <w:ind w:left="-4536"/>
        <w:rPr>
          <w:sz w:val="18"/>
          <w:szCs w:val="18"/>
          <w:lang w:val="mk-MK"/>
        </w:rPr>
      </w:pPr>
      <w:r w:rsidRPr="00EF7752">
        <w:rPr>
          <w:rStyle w:val="FootnoteReference"/>
          <w:sz w:val="18"/>
          <w:szCs w:val="18"/>
        </w:rPr>
        <w:footnoteRef/>
      </w:r>
      <w:r w:rsidRPr="00D22DB7">
        <w:rPr>
          <w:sz w:val="18"/>
          <w:szCs w:val="18"/>
          <w:lang w:val="mk-MK"/>
        </w:rPr>
        <w:t xml:space="preserve"> </w:t>
      </w:r>
      <w:r w:rsidRPr="00EF7752">
        <w:rPr>
          <w:sz w:val="18"/>
          <w:szCs w:val="18"/>
          <w:lang w:val="mk-MK"/>
        </w:rPr>
        <w:t>При симулациите е претпоставено дека депозитите кои</w:t>
      </w:r>
      <w:r>
        <w:rPr>
          <w:sz w:val="18"/>
          <w:szCs w:val="18"/>
          <w:lang w:val="mk-MK"/>
        </w:rPr>
        <w:t>што</w:t>
      </w:r>
      <w:r w:rsidRPr="00EF7752">
        <w:rPr>
          <w:sz w:val="18"/>
          <w:szCs w:val="18"/>
          <w:lang w:val="mk-MK"/>
        </w:rPr>
        <w:t xml:space="preserve"> се одлеваат надвор од банките се краткорочни според својот рочен профил и влегуваат во составот на краткорочните обврски.</w:t>
      </w:r>
    </w:p>
  </w:footnote>
  <w:footnote w:id="34">
    <w:p w:rsidR="006F63B5" w:rsidRPr="00303B89" w:rsidRDefault="006F63B5" w:rsidP="00BF7D49">
      <w:pPr>
        <w:pStyle w:val="FootnoteText"/>
        <w:ind w:left="-4536"/>
        <w:rPr>
          <w:rFonts w:cs="Tahoma"/>
          <w:sz w:val="18"/>
          <w:szCs w:val="18"/>
          <w:lang w:val="mk-MK"/>
        </w:rPr>
      </w:pPr>
      <w:r w:rsidRPr="008B796B">
        <w:rPr>
          <w:rStyle w:val="FootnoteReference"/>
          <w:sz w:val="18"/>
          <w:szCs w:val="18"/>
        </w:rPr>
        <w:footnoteRef/>
      </w:r>
      <w:r w:rsidRPr="00D22DB7">
        <w:rPr>
          <w:sz w:val="18"/>
          <w:szCs w:val="18"/>
          <w:lang w:val="mk-MK"/>
        </w:rPr>
        <w:t xml:space="preserve"> </w:t>
      </w:r>
      <w:r w:rsidRPr="007C0F71">
        <w:rPr>
          <w:rFonts w:cs="Tahoma"/>
          <w:sz w:val="18"/>
          <w:szCs w:val="18"/>
          <w:lang w:val="mk-MK"/>
        </w:rPr>
        <w:t>Јазот меѓу активата и пасивата со валутна компонента е разликата меѓу средствата и обврските со валутна компонента</w:t>
      </w:r>
      <w:r w:rsidRPr="00D22DB7">
        <w:rPr>
          <w:rFonts w:cs="Tahoma"/>
          <w:sz w:val="18"/>
          <w:szCs w:val="18"/>
          <w:lang w:val="mk-MK"/>
        </w:rPr>
        <w:t xml:space="preserve"> </w:t>
      </w:r>
      <w:r w:rsidRPr="007C0F71">
        <w:rPr>
          <w:rFonts w:cs="Tahoma"/>
          <w:sz w:val="18"/>
          <w:szCs w:val="18"/>
          <w:lang w:val="mk-MK"/>
        </w:rPr>
        <w:t xml:space="preserve">утврден согласно со методологијата за управување со валутен ризик, каде што средствата со валутна компонента се прикажани на нето-основа, односно се намалени за утврдената исправка на вредноста за средствата со валутна компонента класифицирани во категориите на ризик </w:t>
      </w:r>
      <w:r>
        <w:rPr>
          <w:rFonts w:cs="Tahoma"/>
          <w:sz w:val="18"/>
          <w:szCs w:val="18"/>
          <w:lang w:val="mk-MK"/>
        </w:rPr>
        <w:t>„</w:t>
      </w:r>
      <w:r w:rsidRPr="007C0F71">
        <w:rPr>
          <w:rFonts w:cs="Tahoma"/>
          <w:sz w:val="18"/>
          <w:szCs w:val="18"/>
          <w:lang w:val="mk-MK"/>
        </w:rPr>
        <w:t>В</w:t>
      </w:r>
      <w:r>
        <w:rPr>
          <w:rFonts w:cs="Tahoma"/>
          <w:sz w:val="18"/>
          <w:szCs w:val="18"/>
          <w:lang w:val="mk-MK"/>
        </w:rPr>
        <w:t>“</w:t>
      </w:r>
      <w:r w:rsidRPr="007C0F71">
        <w:rPr>
          <w:rFonts w:cs="Tahoma"/>
          <w:sz w:val="18"/>
          <w:szCs w:val="18"/>
          <w:lang w:val="mk-MK"/>
        </w:rPr>
        <w:t xml:space="preserve">, </w:t>
      </w:r>
      <w:r>
        <w:rPr>
          <w:rFonts w:cs="Tahoma"/>
          <w:sz w:val="18"/>
          <w:szCs w:val="18"/>
          <w:lang w:val="mk-MK"/>
        </w:rPr>
        <w:t>„</w:t>
      </w:r>
      <w:r w:rsidRPr="007C0F71">
        <w:rPr>
          <w:rFonts w:cs="Tahoma"/>
          <w:sz w:val="18"/>
          <w:szCs w:val="18"/>
          <w:lang w:val="mk-MK"/>
        </w:rPr>
        <w:t>Г</w:t>
      </w:r>
      <w:r>
        <w:rPr>
          <w:rFonts w:cs="Tahoma"/>
          <w:sz w:val="18"/>
          <w:szCs w:val="18"/>
          <w:lang w:val="mk-MK"/>
        </w:rPr>
        <w:t>“</w:t>
      </w:r>
      <w:r w:rsidRPr="007C0F71">
        <w:rPr>
          <w:rFonts w:cs="Tahoma"/>
          <w:sz w:val="18"/>
          <w:szCs w:val="18"/>
          <w:lang w:val="mk-MK"/>
        </w:rPr>
        <w:t xml:space="preserve"> и </w:t>
      </w:r>
      <w:r>
        <w:rPr>
          <w:rFonts w:cs="Tahoma"/>
          <w:sz w:val="18"/>
          <w:szCs w:val="18"/>
          <w:lang w:val="mk-MK"/>
        </w:rPr>
        <w:t>„</w:t>
      </w:r>
      <w:r w:rsidRPr="007C0F71">
        <w:rPr>
          <w:rFonts w:cs="Tahoma"/>
          <w:sz w:val="18"/>
          <w:szCs w:val="18"/>
          <w:lang w:val="mk-MK"/>
        </w:rPr>
        <w:t>Д</w:t>
      </w:r>
      <w:r>
        <w:rPr>
          <w:rFonts w:cs="Tahoma"/>
          <w:sz w:val="18"/>
          <w:szCs w:val="18"/>
          <w:lang w:val="mk-MK"/>
        </w:rPr>
        <w:t>“</w:t>
      </w:r>
      <w:r w:rsidRPr="007C0F71">
        <w:rPr>
          <w:rFonts w:cs="Tahoma"/>
          <w:sz w:val="18"/>
          <w:szCs w:val="18"/>
          <w:lang w:val="mk-MK"/>
        </w:rPr>
        <w:t>.</w:t>
      </w:r>
    </w:p>
  </w:footnote>
  <w:footnote w:id="35">
    <w:p w:rsidR="006F63B5" w:rsidRPr="007C0F71" w:rsidRDefault="006F63B5" w:rsidP="00BF7D49">
      <w:pPr>
        <w:pStyle w:val="FootnoteText"/>
        <w:ind w:left="-4536"/>
        <w:rPr>
          <w:rFonts w:cs="Tahoma"/>
          <w:sz w:val="18"/>
          <w:szCs w:val="18"/>
          <w:lang w:val="mk-MK"/>
        </w:rPr>
      </w:pPr>
      <w:r w:rsidRPr="007C0F71">
        <w:rPr>
          <w:rStyle w:val="FootnoteReference"/>
          <w:rFonts w:cs="Tahoma"/>
          <w:sz w:val="18"/>
          <w:szCs w:val="18"/>
        </w:rPr>
        <w:footnoteRef/>
      </w:r>
      <w:r w:rsidRPr="007C0F71">
        <w:rPr>
          <w:rFonts w:cs="Tahoma"/>
          <w:sz w:val="18"/>
          <w:szCs w:val="18"/>
          <w:lang w:val="mk-MK"/>
        </w:rPr>
        <w:t xml:space="preserve"> Најголем придонес во ова намалување има </w:t>
      </w:r>
      <w:r>
        <w:rPr>
          <w:rFonts w:cs="Tahoma"/>
          <w:sz w:val="18"/>
          <w:szCs w:val="18"/>
          <w:lang w:val="mk-MK"/>
        </w:rPr>
        <w:t xml:space="preserve">намалувањето на </w:t>
      </w:r>
      <w:r w:rsidRPr="007C0F71">
        <w:rPr>
          <w:rFonts w:cs="Tahoma"/>
          <w:sz w:val="18"/>
          <w:szCs w:val="18"/>
          <w:lang w:val="mk-MK"/>
        </w:rPr>
        <w:t>краткорочни депозити во странска валута</w:t>
      </w:r>
      <w:r>
        <w:rPr>
          <w:rFonts w:cs="Tahoma"/>
          <w:sz w:val="18"/>
          <w:szCs w:val="18"/>
          <w:lang w:val="mk-MK"/>
        </w:rPr>
        <w:t xml:space="preserve"> кај Народната банка во износ од</w:t>
      </w:r>
      <w:r w:rsidRPr="007C0F71">
        <w:rPr>
          <w:rFonts w:cs="Tahoma"/>
          <w:sz w:val="18"/>
          <w:szCs w:val="18"/>
          <w:lang w:val="mk-MK"/>
        </w:rPr>
        <w:t xml:space="preserve"> 1.661 милион денари. </w:t>
      </w:r>
    </w:p>
  </w:footnote>
  <w:footnote w:id="36">
    <w:p w:rsidR="006F63B5" w:rsidRPr="007C0F71" w:rsidRDefault="006F63B5" w:rsidP="006D6DFA">
      <w:pPr>
        <w:pStyle w:val="FootnoteText"/>
        <w:ind w:left="-4536"/>
        <w:rPr>
          <w:rFonts w:cs="Tahoma"/>
          <w:sz w:val="18"/>
          <w:szCs w:val="18"/>
          <w:lang w:val="mk-MK"/>
        </w:rPr>
      </w:pPr>
      <w:r w:rsidRPr="007C0F71">
        <w:rPr>
          <w:rStyle w:val="FootnoteReference"/>
          <w:rFonts w:cs="Tahoma"/>
          <w:sz w:val="18"/>
          <w:szCs w:val="18"/>
        </w:rPr>
        <w:footnoteRef/>
      </w:r>
      <w:r w:rsidRPr="00D22DB7">
        <w:rPr>
          <w:rFonts w:cs="Tahoma"/>
          <w:sz w:val="18"/>
          <w:szCs w:val="18"/>
          <w:lang w:val="mk-MK"/>
        </w:rPr>
        <w:t xml:space="preserve"> </w:t>
      </w:r>
      <w:r w:rsidRPr="007C0F71">
        <w:rPr>
          <w:rFonts w:cs="Tahoma"/>
          <w:sz w:val="18"/>
          <w:szCs w:val="18"/>
          <w:lang w:val="mk-MK"/>
        </w:rPr>
        <w:t xml:space="preserve">Порастот на </w:t>
      </w:r>
      <w:r w:rsidRPr="007C0F71">
        <w:rPr>
          <w:rFonts w:cs="Tahoma"/>
          <w:noProof/>
          <w:sz w:val="18"/>
          <w:szCs w:val="18"/>
          <w:lang w:val="mk-MK"/>
        </w:rPr>
        <w:t>негативниот јаз меѓу активата и пасивата во странска валута произлегува</w:t>
      </w:r>
      <w:r>
        <w:rPr>
          <w:rFonts w:cs="Tahoma"/>
          <w:noProof/>
          <w:sz w:val="18"/>
          <w:szCs w:val="18"/>
          <w:lang w:val="mk-MK"/>
        </w:rPr>
        <w:t>,</w:t>
      </w:r>
      <w:r w:rsidRPr="007C0F71">
        <w:rPr>
          <w:rFonts w:cs="Tahoma"/>
          <w:noProof/>
          <w:sz w:val="18"/>
          <w:szCs w:val="18"/>
          <w:lang w:val="mk-MK"/>
        </w:rPr>
        <w:t xml:space="preserve"> од една страна</w:t>
      </w:r>
      <w:r>
        <w:rPr>
          <w:rFonts w:cs="Tahoma"/>
          <w:noProof/>
          <w:sz w:val="18"/>
          <w:szCs w:val="18"/>
          <w:lang w:val="mk-MK"/>
        </w:rPr>
        <w:t>,</w:t>
      </w:r>
      <w:r w:rsidRPr="007C0F71">
        <w:rPr>
          <w:rFonts w:cs="Tahoma"/>
          <w:noProof/>
          <w:sz w:val="18"/>
          <w:szCs w:val="18"/>
          <w:lang w:val="mk-MK"/>
        </w:rPr>
        <w:t xml:space="preserve"> од намалувањето на активата во странска валута (2.689 милиони денари) и од друга страна</w:t>
      </w:r>
      <w:r>
        <w:rPr>
          <w:rFonts w:cs="Tahoma"/>
          <w:noProof/>
          <w:sz w:val="18"/>
          <w:szCs w:val="18"/>
          <w:lang w:val="mk-MK"/>
        </w:rPr>
        <w:t>,</w:t>
      </w:r>
      <w:r w:rsidRPr="007C0F71">
        <w:rPr>
          <w:rFonts w:cs="Tahoma"/>
          <w:noProof/>
          <w:sz w:val="18"/>
          <w:szCs w:val="18"/>
          <w:lang w:val="mk-MK"/>
        </w:rPr>
        <w:t xml:space="preserve"> од растот на пасивата во странска валута (1.203 милиони денари</w:t>
      </w:r>
      <w:r>
        <w:rPr>
          <w:rFonts w:cs="Tahoma"/>
          <w:noProof/>
          <w:sz w:val="18"/>
          <w:szCs w:val="18"/>
          <w:lang w:val="mk-MK"/>
        </w:rPr>
        <w:t>)</w:t>
      </w:r>
      <w:r w:rsidRPr="007C0F71">
        <w:rPr>
          <w:rFonts w:cs="Tahoma"/>
          <w:noProof/>
          <w:sz w:val="18"/>
          <w:szCs w:val="18"/>
          <w:lang w:val="mk-MK"/>
        </w:rPr>
        <w:t xml:space="preserve">.  </w:t>
      </w:r>
    </w:p>
  </w:footnote>
  <w:footnote w:id="37">
    <w:p w:rsidR="006F63B5" w:rsidRPr="00A65B25" w:rsidRDefault="006F63B5" w:rsidP="006D6DFA">
      <w:pPr>
        <w:pStyle w:val="FootnoteText"/>
        <w:ind w:left="-4536"/>
        <w:rPr>
          <w:sz w:val="18"/>
          <w:szCs w:val="18"/>
          <w:lang w:val="mk-MK"/>
        </w:rPr>
      </w:pPr>
      <w:r w:rsidRPr="007C0F71">
        <w:rPr>
          <w:rStyle w:val="FootnoteReference"/>
          <w:rFonts w:cs="Tahoma"/>
          <w:sz w:val="18"/>
          <w:szCs w:val="18"/>
        </w:rPr>
        <w:footnoteRef/>
      </w:r>
      <w:r w:rsidRPr="00D22DB7">
        <w:rPr>
          <w:rFonts w:cs="Tahoma"/>
          <w:sz w:val="18"/>
          <w:szCs w:val="18"/>
          <w:lang w:val="mk-MK"/>
        </w:rPr>
        <w:t xml:space="preserve"> </w:t>
      </w:r>
      <w:r w:rsidRPr="007C0F71">
        <w:rPr>
          <w:rFonts w:cs="Tahoma"/>
          <w:sz w:val="18"/>
          <w:szCs w:val="18"/>
          <w:lang w:val="mk-MK"/>
        </w:rPr>
        <w:t xml:space="preserve">За порастот на позитивниот јаз меѓу активата и пасивата во денари со девизна клаузула придонесе пред </w:t>
      </w:r>
      <w:r w:rsidRPr="00D22DB7">
        <w:rPr>
          <w:rFonts w:cs="Tahoma"/>
          <w:sz w:val="18"/>
          <w:szCs w:val="18"/>
          <w:lang w:val="mk-MK"/>
        </w:rPr>
        <w:t>сѐ</w:t>
      </w:r>
      <w:r w:rsidRPr="007C0F71">
        <w:rPr>
          <w:rFonts w:cs="Tahoma"/>
          <w:sz w:val="18"/>
          <w:szCs w:val="18"/>
          <w:lang w:val="mk-MK"/>
        </w:rPr>
        <w:t xml:space="preserve"> растот на активата во денари со девизна клаузула за 979 милиони денари</w:t>
      </w:r>
      <w:r>
        <w:rPr>
          <w:rFonts w:cs="Tahoma"/>
          <w:sz w:val="18"/>
          <w:szCs w:val="18"/>
          <w:lang w:val="mk-MK"/>
        </w:rPr>
        <w:t xml:space="preserve"> (раст на државните хартии од вредност и кредитите во денари со девизна клаузула</w:t>
      </w:r>
      <w:r w:rsidRPr="007C0F71">
        <w:rPr>
          <w:rFonts w:cs="Tahoma"/>
          <w:sz w:val="18"/>
          <w:szCs w:val="18"/>
          <w:lang w:val="mk-MK"/>
        </w:rPr>
        <w:t>), но и намалувањето на</w:t>
      </w:r>
      <w:r w:rsidRPr="00194479">
        <w:rPr>
          <w:sz w:val="18"/>
          <w:szCs w:val="18"/>
          <w:lang w:val="mk-MK"/>
        </w:rPr>
        <w:t xml:space="preserve"> пасивата во денари со </w:t>
      </w:r>
      <w:r>
        <w:rPr>
          <w:sz w:val="18"/>
          <w:szCs w:val="18"/>
          <w:lang w:val="mk-MK"/>
        </w:rPr>
        <w:t>девизна</w:t>
      </w:r>
      <w:r w:rsidRPr="00194479">
        <w:rPr>
          <w:sz w:val="18"/>
          <w:szCs w:val="18"/>
          <w:lang w:val="mk-MK"/>
        </w:rPr>
        <w:t xml:space="preserve"> клаузула за 478 милиони денари</w:t>
      </w:r>
      <w:r>
        <w:rPr>
          <w:sz w:val="18"/>
          <w:szCs w:val="18"/>
          <w:lang w:val="mk-MK"/>
        </w:rPr>
        <w:t xml:space="preserve"> (намалување на депозитите на нефинансиските субјекти и обврските врз основа на кредити </w:t>
      </w:r>
      <w:r>
        <w:rPr>
          <w:rFonts w:cs="Tahoma"/>
          <w:sz w:val="18"/>
          <w:szCs w:val="18"/>
          <w:lang w:val="mk-MK"/>
        </w:rPr>
        <w:t>во денари со девизна клаузула</w:t>
      </w:r>
      <w:r>
        <w:rPr>
          <w:sz w:val="18"/>
          <w:szCs w:val="18"/>
          <w:lang w:val="mk-MK"/>
        </w:rPr>
        <w:t>)</w:t>
      </w:r>
      <w:r w:rsidRPr="00194479">
        <w:rPr>
          <w:sz w:val="18"/>
          <w:szCs w:val="18"/>
          <w:lang w:val="mk-MK"/>
        </w:rPr>
        <w:t>.</w:t>
      </w:r>
    </w:p>
  </w:footnote>
  <w:footnote w:id="38">
    <w:p w:rsidR="006F63B5" w:rsidRPr="00617C49" w:rsidRDefault="006F63B5" w:rsidP="00BF7D49">
      <w:pPr>
        <w:pStyle w:val="FootnoteText"/>
        <w:ind w:left="-4536"/>
        <w:rPr>
          <w:sz w:val="18"/>
          <w:szCs w:val="18"/>
          <w:lang w:val="mk-MK"/>
        </w:rPr>
      </w:pPr>
      <w:r w:rsidRPr="0027338A">
        <w:rPr>
          <w:rStyle w:val="FootnoteReference"/>
          <w:sz w:val="18"/>
          <w:szCs w:val="18"/>
        </w:rPr>
        <w:footnoteRef/>
      </w:r>
      <w:r w:rsidRPr="00D22DB7">
        <w:rPr>
          <w:sz w:val="18"/>
          <w:szCs w:val="18"/>
          <w:lang w:val="mk-MK"/>
        </w:rPr>
        <w:t xml:space="preserve"> </w:t>
      </w:r>
      <w:r>
        <w:rPr>
          <w:sz w:val="18"/>
          <w:szCs w:val="18"/>
          <w:lang w:val="mk-MK"/>
        </w:rPr>
        <w:t xml:space="preserve">Доколку се земе предвид просечната месечна агрегатна девизна позиција на банките во првиот квартал од 2013 година, осум банки имаат постојана агрегатна долга девизна позиција, а три банки имаат постојана агрегатна кратка девизна позиција. </w:t>
      </w:r>
    </w:p>
  </w:footnote>
  <w:footnote w:id="39">
    <w:p w:rsidR="006F63B5" w:rsidRPr="00303B89" w:rsidRDefault="006F63B5" w:rsidP="006B54B5">
      <w:pPr>
        <w:pStyle w:val="FootnoteText"/>
        <w:ind w:left="-4500"/>
        <w:rPr>
          <w:sz w:val="18"/>
          <w:szCs w:val="18"/>
          <w:lang w:val="mk-MK"/>
        </w:rPr>
      </w:pPr>
      <w:r w:rsidRPr="00F34C68">
        <w:rPr>
          <w:rStyle w:val="FootnoteReference"/>
          <w:sz w:val="18"/>
          <w:szCs w:val="18"/>
        </w:rPr>
        <w:footnoteRef/>
      </w:r>
      <w:r w:rsidRPr="00D22DB7">
        <w:rPr>
          <w:sz w:val="18"/>
          <w:szCs w:val="18"/>
          <w:lang w:val="mk-MK"/>
        </w:rPr>
        <w:t xml:space="preserve"> </w:t>
      </w:r>
      <w:r>
        <w:rPr>
          <w:sz w:val="18"/>
          <w:szCs w:val="18"/>
          <w:lang w:val="mk-MK"/>
        </w:rPr>
        <w:t xml:space="preserve">Приспособувањето на висината на каматните стапки се прави еднострано заради промени во каматната политика на банката, а не врз основа на одредена каматна стапка. Примената на прилагодливите каматни стапки овозможува подобро управување, избегнување или пренесување на преземените ризици, а можат да служат и како инструмент за управување со ликвидноста и профитабилноста. </w:t>
      </w:r>
    </w:p>
  </w:footnote>
  <w:footnote w:id="40">
    <w:p w:rsidR="006F63B5" w:rsidRPr="006665F8" w:rsidRDefault="006F63B5" w:rsidP="006B54B5">
      <w:pPr>
        <w:pStyle w:val="FootnoteText"/>
        <w:ind w:left="-4500"/>
        <w:rPr>
          <w:color w:val="000000" w:themeColor="text1"/>
          <w:sz w:val="18"/>
          <w:szCs w:val="18"/>
          <w:lang w:val="mk-MK"/>
        </w:rPr>
      </w:pPr>
      <w:r w:rsidRPr="00414E84">
        <w:rPr>
          <w:rStyle w:val="FootnoteReference"/>
          <w:sz w:val="18"/>
          <w:szCs w:val="18"/>
        </w:rPr>
        <w:footnoteRef/>
      </w:r>
      <w:r w:rsidRPr="00AC731B">
        <w:rPr>
          <w:sz w:val="18"/>
          <w:szCs w:val="18"/>
        </w:rPr>
        <w:t xml:space="preserve"> </w:t>
      </w:r>
      <w:r w:rsidRPr="00414E84">
        <w:rPr>
          <w:sz w:val="18"/>
          <w:szCs w:val="18"/>
          <w:lang w:val="mk-MK"/>
        </w:rPr>
        <w:t xml:space="preserve">Позитивниот јаз кај позициите со фиксни каматни стапки е резултат на тоа што овој тип каматна стапка преовладува во </w:t>
      </w:r>
      <w:r w:rsidRPr="006665F8">
        <w:rPr>
          <w:sz w:val="18"/>
          <w:szCs w:val="18"/>
          <w:lang w:val="mk-MK"/>
        </w:rPr>
        <w:t xml:space="preserve">повеќето ставки од </w:t>
      </w:r>
      <w:r w:rsidRPr="00AC731B">
        <w:rPr>
          <w:sz w:val="18"/>
          <w:szCs w:val="18"/>
        </w:rPr>
        <w:t>каматочувствителните</w:t>
      </w:r>
      <w:r w:rsidRPr="006665F8">
        <w:rPr>
          <w:sz w:val="18"/>
          <w:szCs w:val="18"/>
          <w:lang w:val="mk-MK"/>
        </w:rPr>
        <w:t xml:space="preserve"> средства, и тоа кај издвоената задолжителна резерва (100%), хартиите од вредност (97,5%) и вложувањата на </w:t>
      </w:r>
      <w:r w:rsidRPr="006665F8">
        <w:rPr>
          <w:color w:val="000000" w:themeColor="text1"/>
          <w:sz w:val="18"/>
          <w:szCs w:val="18"/>
          <w:lang w:val="mk-MK"/>
        </w:rPr>
        <w:t>банките во депозити (87,2%). Позитивниот јаз кај позициите со променливи (варијабилни) каматни стапки се должи на средствата по видување (пред с</w:t>
      </w:r>
      <w:r w:rsidRPr="006665F8">
        <w:rPr>
          <w:rFonts w:cs="Tahoma"/>
          <w:color w:val="000000" w:themeColor="text1"/>
          <w:sz w:val="18"/>
          <w:szCs w:val="18"/>
          <w:lang w:val="mk-MK"/>
        </w:rPr>
        <w:t>è</w:t>
      </w:r>
      <w:r w:rsidRPr="006665F8">
        <w:rPr>
          <w:color w:val="000000" w:themeColor="text1"/>
          <w:sz w:val="18"/>
          <w:szCs w:val="18"/>
          <w:lang w:val="mk-MK"/>
        </w:rPr>
        <w:t xml:space="preserve"> кај странски банки), коишто во голем дел (76,9%) се со променливи каматни стапки. </w:t>
      </w:r>
    </w:p>
  </w:footnote>
  <w:footnote w:id="41">
    <w:p w:rsidR="006F63B5" w:rsidRPr="002A1BF2" w:rsidRDefault="006F63B5" w:rsidP="00B210DD">
      <w:pPr>
        <w:pStyle w:val="FootnoteText"/>
        <w:ind w:left="-4500"/>
        <w:rPr>
          <w:sz w:val="18"/>
          <w:szCs w:val="18"/>
          <w:lang w:val="mk-MK"/>
        </w:rPr>
      </w:pPr>
      <w:r w:rsidRPr="00FE2BF3">
        <w:rPr>
          <w:rStyle w:val="FootnoteReference"/>
          <w:sz w:val="18"/>
          <w:szCs w:val="18"/>
        </w:rPr>
        <w:footnoteRef/>
      </w:r>
      <w:r w:rsidRPr="00AC731B">
        <w:rPr>
          <w:sz w:val="18"/>
          <w:szCs w:val="18"/>
        </w:rPr>
        <w:t xml:space="preserve"> </w:t>
      </w:r>
      <w:r>
        <w:rPr>
          <w:sz w:val="18"/>
          <w:szCs w:val="18"/>
          <w:lang w:val="mk-MK"/>
        </w:rPr>
        <w:t xml:space="preserve">Негативниот јаз кај позициите со прилагодливи каматни стапки произлегува од тоа што значителен дел од </w:t>
      </w:r>
      <w:r w:rsidRPr="002A1BF2">
        <w:rPr>
          <w:sz w:val="18"/>
          <w:szCs w:val="18"/>
          <w:lang w:val="mk-MK"/>
        </w:rPr>
        <w:t>орочените депозити</w:t>
      </w:r>
      <w:r>
        <w:rPr>
          <w:sz w:val="18"/>
          <w:szCs w:val="18"/>
          <w:lang w:val="mk-MK"/>
        </w:rPr>
        <w:t xml:space="preserve"> (65,5%)</w:t>
      </w:r>
      <w:r w:rsidRPr="002A1BF2">
        <w:rPr>
          <w:sz w:val="18"/>
          <w:szCs w:val="18"/>
          <w:lang w:val="mk-MK"/>
        </w:rPr>
        <w:t xml:space="preserve"> и речиси сите обврски по видување</w:t>
      </w:r>
      <w:r>
        <w:rPr>
          <w:sz w:val="18"/>
          <w:szCs w:val="18"/>
          <w:lang w:val="mk-MK"/>
        </w:rPr>
        <w:t xml:space="preserve"> (94,2%)</w:t>
      </w:r>
      <w:r w:rsidRPr="002A1BF2">
        <w:rPr>
          <w:sz w:val="18"/>
          <w:szCs w:val="18"/>
          <w:lang w:val="mk-MK"/>
        </w:rPr>
        <w:t xml:space="preserve"> се со прилагодливи каматни стапки. </w:t>
      </w:r>
    </w:p>
  </w:footnote>
  <w:footnote w:id="42">
    <w:p w:rsidR="006F63B5" w:rsidRPr="00F2784E" w:rsidRDefault="006F63B5" w:rsidP="006B54B5">
      <w:pPr>
        <w:pStyle w:val="FootnoteText"/>
        <w:ind w:left="-4500"/>
        <w:rPr>
          <w:lang w:val="mk-MK"/>
        </w:rPr>
      </w:pPr>
      <w:r w:rsidRPr="005D0B9A">
        <w:rPr>
          <w:rStyle w:val="FootnoteReference"/>
          <w:sz w:val="18"/>
          <w:szCs w:val="18"/>
        </w:rPr>
        <w:footnoteRef/>
      </w:r>
      <w:r w:rsidRPr="00D22DB7">
        <w:rPr>
          <w:sz w:val="18"/>
          <w:szCs w:val="18"/>
          <w:lang w:val="mk-MK"/>
        </w:rPr>
        <w:t xml:space="preserve"> </w:t>
      </w:r>
      <w:r>
        <w:rPr>
          <w:sz w:val="18"/>
          <w:szCs w:val="18"/>
          <w:lang w:val="mk-MK"/>
        </w:rPr>
        <w:t>В</w:t>
      </w:r>
      <w:r>
        <w:rPr>
          <w:rFonts w:cs="Tahoma"/>
          <w:sz w:val="18"/>
          <w:szCs w:val="18"/>
          <w:lang w:val="mk-MK"/>
        </w:rPr>
        <w:t>купната пондерирана вредност на портфолиото на банкарски активности се добива со агрегирање на нето пондерираната вредност на секоја банка. За поединечна банка, с</w:t>
      </w:r>
      <w:r w:rsidRPr="00A515FD">
        <w:rPr>
          <w:rFonts w:cs="Tahoma"/>
          <w:sz w:val="18"/>
          <w:szCs w:val="18"/>
          <w:lang w:val="mk-MK"/>
        </w:rPr>
        <w:t xml:space="preserve">оодносот меѓу </w:t>
      </w:r>
      <w:r>
        <w:rPr>
          <w:rFonts w:cs="Tahoma"/>
          <w:sz w:val="18"/>
          <w:szCs w:val="18"/>
          <w:lang w:val="mk-MK"/>
        </w:rPr>
        <w:t>нето-</w:t>
      </w:r>
      <w:r w:rsidRPr="00A515FD">
        <w:rPr>
          <w:rFonts w:cs="Tahoma"/>
          <w:sz w:val="18"/>
          <w:szCs w:val="18"/>
          <w:lang w:val="mk-MK"/>
        </w:rPr>
        <w:t>пондерирана вредност на портфолиото на банкарски активности и сопствените средства на банката може да изнесува до 20%.</w:t>
      </w:r>
      <w:r>
        <w:rPr>
          <w:lang w:val="mk-MK"/>
        </w:rPr>
        <w:t xml:space="preserve"> </w:t>
      </w:r>
    </w:p>
  </w:footnote>
  <w:footnote w:id="43">
    <w:p w:rsidR="006F63B5" w:rsidRPr="007E5746" w:rsidRDefault="006F63B5" w:rsidP="006B54B5">
      <w:pPr>
        <w:pStyle w:val="FootnoteText"/>
        <w:ind w:left="-4500"/>
        <w:rPr>
          <w:sz w:val="18"/>
          <w:szCs w:val="18"/>
          <w:lang w:val="mk-MK"/>
        </w:rPr>
      </w:pPr>
      <w:r w:rsidRPr="007E5746">
        <w:rPr>
          <w:rStyle w:val="FootnoteReference"/>
          <w:sz w:val="18"/>
          <w:szCs w:val="18"/>
        </w:rPr>
        <w:footnoteRef/>
      </w:r>
      <w:r w:rsidRPr="00D22DB7">
        <w:rPr>
          <w:sz w:val="18"/>
          <w:szCs w:val="18"/>
          <w:lang w:val="mk-MK"/>
        </w:rPr>
        <w:t xml:space="preserve"> </w:t>
      </w:r>
      <w:r w:rsidRPr="007E5746">
        <w:rPr>
          <w:sz w:val="18"/>
          <w:szCs w:val="18"/>
          <w:lang w:val="mk-MK"/>
        </w:rPr>
        <w:t>Во тековната законска регулатива од овој домен посто</w:t>
      </w:r>
      <w:r>
        <w:rPr>
          <w:sz w:val="18"/>
          <w:szCs w:val="18"/>
          <w:lang w:val="mk-MK"/>
        </w:rPr>
        <w:t>и</w:t>
      </w:r>
      <w:r w:rsidRPr="007E5746">
        <w:rPr>
          <w:sz w:val="18"/>
          <w:szCs w:val="18"/>
          <w:lang w:val="mk-MK"/>
        </w:rPr>
        <w:t xml:space="preserve"> недореченост во врска со</w:t>
      </w:r>
      <w:r>
        <w:rPr>
          <w:sz w:val="18"/>
          <w:szCs w:val="18"/>
          <w:lang w:val="mk-MK"/>
        </w:rPr>
        <w:t xml:space="preserve"> користењето на клаузулите за еднострана прилагодливост на каматните стапки, односно не се содржани одредби за начинот на утврдување и промена на каматните стапки или дефиниција за тоа што се подразбира под променливи каматни стапки.</w:t>
      </w:r>
    </w:p>
  </w:footnote>
  <w:footnote w:id="44">
    <w:p w:rsidR="006F63B5" w:rsidRDefault="006F63B5">
      <w:pPr>
        <w:pStyle w:val="FootnoteText"/>
        <w:ind w:left="-4536"/>
        <w:rPr>
          <w:sz w:val="18"/>
          <w:szCs w:val="18"/>
          <w:lang w:val="mk-MK"/>
        </w:rPr>
      </w:pPr>
      <w:r w:rsidRPr="0064235F">
        <w:rPr>
          <w:rStyle w:val="FootnoteReference"/>
          <w:sz w:val="18"/>
          <w:szCs w:val="18"/>
        </w:rPr>
        <w:footnoteRef/>
      </w:r>
      <w:r w:rsidRPr="00D22DB7">
        <w:rPr>
          <w:sz w:val="18"/>
          <w:szCs w:val="18"/>
          <w:lang w:val="mk-MK"/>
        </w:rPr>
        <w:t xml:space="preserve"> </w:t>
      </w:r>
      <w:r w:rsidRPr="0064235F">
        <w:rPr>
          <w:rFonts w:cs="Tahoma"/>
          <w:bCs/>
          <w:sz w:val="18"/>
          <w:szCs w:val="18"/>
          <w:lang w:val="mk-MK"/>
        </w:rPr>
        <w:t>Спротивните знаци на квартална промена кај капиталот и резервите, наспроти основниот капитал на банките се најмногу условени од промените кај една банка од групата големи банки, којашто одлучи да ја задржи добивката од 2012 година на позициите од капиталот и резервите, но како располож</w:t>
      </w:r>
      <w:r>
        <w:rPr>
          <w:rFonts w:cs="Tahoma"/>
          <w:bCs/>
          <w:sz w:val="18"/>
          <w:szCs w:val="18"/>
          <w:lang w:val="mk-MK"/>
        </w:rPr>
        <w:t>л</w:t>
      </w:r>
      <w:r w:rsidRPr="0064235F">
        <w:rPr>
          <w:rFonts w:cs="Tahoma"/>
          <w:bCs/>
          <w:sz w:val="18"/>
          <w:szCs w:val="18"/>
          <w:lang w:val="mk-MK"/>
        </w:rPr>
        <w:t>ива за распределба на акционерите, што оневозможи нејзино вклучување во основниот капитал и сопствените средства на банката</w:t>
      </w:r>
      <w:r>
        <w:rPr>
          <w:rFonts w:cs="Tahoma"/>
          <w:bCs/>
          <w:sz w:val="18"/>
          <w:szCs w:val="18"/>
          <w:lang w:val="mk-MK"/>
        </w:rPr>
        <w:t>.</w:t>
      </w:r>
    </w:p>
  </w:footnote>
  <w:footnote w:id="45">
    <w:p w:rsidR="006F63B5" w:rsidRPr="00774BA0" w:rsidRDefault="006F63B5" w:rsidP="00116403">
      <w:pPr>
        <w:pStyle w:val="FootnoteText"/>
        <w:ind w:left="-4536"/>
        <w:rPr>
          <w:sz w:val="18"/>
          <w:szCs w:val="18"/>
          <w:lang w:val="mk-MK"/>
        </w:rPr>
      </w:pPr>
      <w:r w:rsidRPr="00774BA0">
        <w:rPr>
          <w:rStyle w:val="FootnoteReference"/>
          <w:sz w:val="18"/>
          <w:szCs w:val="18"/>
        </w:rPr>
        <w:footnoteRef/>
      </w:r>
      <w:r w:rsidRPr="00D22DB7">
        <w:rPr>
          <w:sz w:val="18"/>
          <w:szCs w:val="18"/>
          <w:lang w:val="mk-MK"/>
        </w:rPr>
        <w:t xml:space="preserve"> </w:t>
      </w:r>
      <w:r w:rsidRPr="00774BA0">
        <w:rPr>
          <w:sz w:val="18"/>
          <w:szCs w:val="18"/>
          <w:lang w:val="mk-MK"/>
        </w:rPr>
        <w:t>П</w:t>
      </w:r>
      <w:r w:rsidRPr="00774BA0">
        <w:rPr>
          <w:rFonts w:cs="Tahoma"/>
          <w:bCs/>
          <w:noProof/>
          <w:sz w:val="18"/>
          <w:szCs w:val="18"/>
          <w:lang w:val="mk-MK"/>
        </w:rPr>
        <w:t xml:space="preserve">озицијата </w:t>
      </w:r>
      <w:r>
        <w:rPr>
          <w:rFonts w:cs="Tahoma"/>
          <w:bCs/>
          <w:noProof/>
          <w:sz w:val="18"/>
          <w:szCs w:val="18"/>
          <w:lang w:val="mk-MK"/>
        </w:rPr>
        <w:t>„</w:t>
      </w:r>
      <w:r w:rsidRPr="00D22DB7">
        <w:rPr>
          <w:rFonts w:cs="Tahoma"/>
          <w:bCs/>
          <w:noProof/>
          <w:sz w:val="18"/>
          <w:szCs w:val="18"/>
          <w:lang w:val="mk-MK"/>
        </w:rPr>
        <w:t>загуба на крајот од годината или тековна загуба</w:t>
      </w:r>
      <w:r>
        <w:rPr>
          <w:rFonts w:cs="Tahoma"/>
          <w:bCs/>
          <w:noProof/>
          <w:sz w:val="18"/>
          <w:szCs w:val="18"/>
          <w:lang w:val="mk-MK"/>
        </w:rPr>
        <w:t>“</w:t>
      </w:r>
      <w:r w:rsidRPr="00774BA0">
        <w:rPr>
          <w:rFonts w:cs="Tahoma"/>
          <w:bCs/>
          <w:noProof/>
          <w:sz w:val="18"/>
          <w:szCs w:val="18"/>
          <w:lang w:val="mk-MK"/>
        </w:rPr>
        <w:t xml:space="preserve"> претставува одбитна ставка од основниот капитал на банките.</w:t>
      </w:r>
    </w:p>
  </w:footnote>
  <w:footnote w:id="46">
    <w:p w:rsidR="006F63B5" w:rsidRPr="00C23D47" w:rsidRDefault="006F63B5" w:rsidP="00116403">
      <w:pPr>
        <w:pStyle w:val="FootnoteText"/>
        <w:ind w:left="-4536"/>
        <w:rPr>
          <w:sz w:val="18"/>
          <w:szCs w:val="18"/>
          <w:lang w:val="mk-MK"/>
        </w:rPr>
      </w:pPr>
      <w:r w:rsidRPr="00C23D47">
        <w:rPr>
          <w:rStyle w:val="FootnoteReference"/>
          <w:sz w:val="18"/>
          <w:szCs w:val="18"/>
        </w:rPr>
        <w:footnoteRef/>
      </w:r>
      <w:r w:rsidRPr="00D22DB7">
        <w:rPr>
          <w:sz w:val="18"/>
          <w:szCs w:val="18"/>
          <w:lang w:val="mk-MK"/>
        </w:rPr>
        <w:t xml:space="preserve"> </w:t>
      </w:r>
      <w:r w:rsidRPr="00C23D47">
        <w:rPr>
          <w:rFonts w:cs="Tahoma"/>
          <w:bCs/>
          <w:noProof/>
          <w:sz w:val="18"/>
          <w:szCs w:val="18"/>
          <w:lang w:val="mk-MK"/>
        </w:rPr>
        <w:t xml:space="preserve">Истовремено, две банки ја распределија загубата остварена во 2012 година, </w:t>
      </w:r>
      <w:r w:rsidRPr="00D22DB7">
        <w:rPr>
          <w:rFonts w:cs="Tahoma"/>
          <w:bCs/>
          <w:noProof/>
          <w:sz w:val="18"/>
          <w:szCs w:val="18"/>
          <w:lang w:val="mk-MK"/>
        </w:rPr>
        <w:t>зголемувајќи ја акумулираната загуба од претходни</w:t>
      </w:r>
      <w:r w:rsidRPr="00C23D47">
        <w:rPr>
          <w:rFonts w:cs="Tahoma"/>
          <w:bCs/>
          <w:noProof/>
          <w:sz w:val="18"/>
          <w:szCs w:val="18"/>
          <w:lang w:val="mk-MK"/>
        </w:rPr>
        <w:t xml:space="preserve"> години.</w:t>
      </w:r>
    </w:p>
  </w:footnote>
  <w:footnote w:id="47">
    <w:p w:rsidR="006F63B5" w:rsidRPr="00E362AA" w:rsidRDefault="006F63B5" w:rsidP="00E362AA">
      <w:pPr>
        <w:pStyle w:val="FootnoteText"/>
        <w:ind w:left="-4536"/>
        <w:rPr>
          <w:sz w:val="18"/>
          <w:szCs w:val="18"/>
          <w:lang w:val="mk-MK"/>
        </w:rPr>
      </w:pPr>
      <w:r w:rsidRPr="00E362AA">
        <w:rPr>
          <w:rStyle w:val="FootnoteReference"/>
          <w:sz w:val="18"/>
          <w:szCs w:val="18"/>
        </w:rPr>
        <w:footnoteRef/>
      </w:r>
      <w:r w:rsidRPr="00D22DB7">
        <w:rPr>
          <w:sz w:val="18"/>
          <w:szCs w:val="18"/>
          <w:lang w:val="mk-MK"/>
        </w:rPr>
        <w:t xml:space="preserve"> </w:t>
      </w:r>
      <w:r>
        <w:rPr>
          <w:sz w:val="18"/>
          <w:szCs w:val="18"/>
          <w:lang w:val="mk-MK"/>
        </w:rPr>
        <w:t>Ед</w:t>
      </w:r>
      <w:r w:rsidRPr="00E362AA">
        <w:rPr>
          <w:rFonts w:cs="Tahoma"/>
          <w:bCs/>
          <w:sz w:val="18"/>
          <w:szCs w:val="18"/>
          <w:lang w:val="mk-MK"/>
        </w:rPr>
        <w:t>на банка од групата средни банки, започна да вклучува еден од постоечките субординирани инструменти (вложен уште во октомври 2009 година) во утврдувањето на сопствените средства, откако, во првиот квартал од 2013 година, карактеристиките на овој инструмент беа усогласени со регулаторните барања за негово вклучување во пресметката на дополнителниот капитал</w:t>
      </w:r>
      <w:r>
        <w:rPr>
          <w:rFonts w:cs="Tahoma"/>
          <w:bCs/>
          <w:sz w:val="18"/>
          <w:szCs w:val="18"/>
          <w:lang w:val="mk-MK"/>
        </w:rPr>
        <w:t xml:space="preserve"> (с</w:t>
      </w:r>
      <w:r w:rsidRPr="000E073A">
        <w:rPr>
          <w:rFonts w:cs="Tahoma"/>
          <w:bCs/>
          <w:sz w:val="18"/>
          <w:szCs w:val="18"/>
          <w:lang w:val="mk-MK"/>
        </w:rPr>
        <w:t>убординираниот инструмент се вклучи во пресметката на сопствените средства на банката во износ од 99 милиони денари</w:t>
      </w:r>
      <w:r>
        <w:rPr>
          <w:rFonts w:cs="Tahoma"/>
          <w:bCs/>
          <w:sz w:val="18"/>
          <w:szCs w:val="18"/>
          <w:lang w:val="mk-MK"/>
        </w:rPr>
        <w:t>).</w:t>
      </w:r>
      <w:r w:rsidRPr="00E362AA">
        <w:rPr>
          <w:rFonts w:cs="Tahoma"/>
          <w:bCs/>
          <w:sz w:val="18"/>
          <w:szCs w:val="18"/>
          <w:lang w:val="mk-MK"/>
        </w:rPr>
        <w:t xml:space="preserve"> </w:t>
      </w:r>
      <w:r>
        <w:rPr>
          <w:rFonts w:cs="Tahoma"/>
          <w:bCs/>
          <w:sz w:val="18"/>
          <w:szCs w:val="18"/>
          <w:lang w:val="mk-MK"/>
        </w:rPr>
        <w:t>Исто така</w:t>
      </w:r>
      <w:r w:rsidRPr="00E362AA">
        <w:rPr>
          <w:rFonts w:cs="Tahoma"/>
          <w:bCs/>
          <w:sz w:val="18"/>
          <w:szCs w:val="18"/>
          <w:lang w:val="mk-MK"/>
        </w:rPr>
        <w:t>, кај една банка од групата мали банки, матичното лице вложи субординиран инструмент во износ од 9 милиони денари. Наспроти ваквите движења, дозволениот износ на субординирани инструменти кај две банки забележа квартално намалување од 57 милиони денари. Помали промени во износот на субординираните инструменти се присутни и кај останатите банки и се последица на курсни разлики</w:t>
      </w:r>
      <w:r>
        <w:rPr>
          <w:rFonts w:cs="Tahoma"/>
          <w:bCs/>
          <w:sz w:val="18"/>
          <w:szCs w:val="18"/>
          <w:lang w:val="mk-MK"/>
        </w:rPr>
        <w:t>.</w:t>
      </w:r>
    </w:p>
  </w:footnote>
  <w:footnote w:id="48">
    <w:p w:rsidR="006F63B5" w:rsidRPr="005F068C" w:rsidRDefault="006F63B5" w:rsidP="00116403">
      <w:pPr>
        <w:pStyle w:val="FootnoteText"/>
        <w:ind w:left="-4536"/>
        <w:rPr>
          <w:lang w:val="mk-MK"/>
        </w:rPr>
      </w:pPr>
      <w:r w:rsidRPr="005F068C">
        <w:rPr>
          <w:rStyle w:val="FootnoteReference"/>
          <w:sz w:val="18"/>
          <w:szCs w:val="18"/>
        </w:rPr>
        <w:footnoteRef/>
      </w:r>
      <w:r w:rsidRPr="00D22DB7">
        <w:rPr>
          <w:sz w:val="18"/>
          <w:szCs w:val="18"/>
          <w:lang w:val="mk-MK"/>
        </w:rPr>
        <w:t xml:space="preserve"> </w:t>
      </w:r>
      <w:r w:rsidRPr="005F068C">
        <w:rPr>
          <w:sz w:val="18"/>
          <w:szCs w:val="18"/>
          <w:lang w:val="mk-MK"/>
        </w:rPr>
        <w:t xml:space="preserve">Капиталните барања се утврдуваат </w:t>
      </w:r>
      <w:r>
        <w:rPr>
          <w:sz w:val="18"/>
          <w:szCs w:val="18"/>
          <w:lang w:val="mk-MK"/>
        </w:rPr>
        <w:t xml:space="preserve">на нивото од </w:t>
      </w:r>
      <w:r w:rsidRPr="005F068C">
        <w:rPr>
          <w:sz w:val="18"/>
          <w:szCs w:val="18"/>
          <w:lang w:val="mk-MK"/>
        </w:rPr>
        <w:t>8% од активата пондерирана според ризиците.</w:t>
      </w:r>
    </w:p>
  </w:footnote>
  <w:footnote w:id="49">
    <w:p w:rsidR="006F63B5" w:rsidRPr="00293B53" w:rsidRDefault="006F63B5" w:rsidP="00D604AC">
      <w:pPr>
        <w:pStyle w:val="FootnoteText"/>
        <w:ind w:left="-4536"/>
        <w:rPr>
          <w:sz w:val="18"/>
          <w:szCs w:val="18"/>
          <w:lang w:val="mk-MK"/>
        </w:rPr>
      </w:pPr>
      <w:r w:rsidRPr="00293B53">
        <w:rPr>
          <w:rStyle w:val="FootnoteReference"/>
          <w:sz w:val="18"/>
          <w:szCs w:val="18"/>
        </w:rPr>
        <w:footnoteRef/>
      </w:r>
      <w:r w:rsidRPr="00D22DB7">
        <w:rPr>
          <w:sz w:val="18"/>
          <w:szCs w:val="18"/>
          <w:lang w:val="mk-MK"/>
        </w:rPr>
        <w:t xml:space="preserve"> </w:t>
      </w:r>
      <w:r w:rsidRPr="00293B53">
        <w:rPr>
          <w:sz w:val="18"/>
          <w:szCs w:val="18"/>
          <w:lang w:val="mk-MK"/>
        </w:rPr>
        <w:t xml:space="preserve">Утврдени согласно со </w:t>
      </w:r>
      <w:r>
        <w:rPr>
          <w:sz w:val="18"/>
          <w:szCs w:val="18"/>
          <w:lang w:val="mk-MK"/>
        </w:rPr>
        <w:t>важечката Одлука</w:t>
      </w:r>
      <w:r w:rsidRPr="00293B53">
        <w:rPr>
          <w:sz w:val="18"/>
          <w:szCs w:val="18"/>
          <w:lang w:val="mk-MK"/>
        </w:rPr>
        <w:t xml:space="preserve"> и Упатство за методологијата за утврдување на адекватноста на капиталот.</w:t>
      </w:r>
    </w:p>
  </w:footnote>
  <w:footnote w:id="50">
    <w:p w:rsidR="006F63B5" w:rsidRPr="000F374D" w:rsidRDefault="006F63B5" w:rsidP="00BD2F10">
      <w:pPr>
        <w:pStyle w:val="FootnoteText"/>
        <w:ind w:left="-4536"/>
        <w:rPr>
          <w:sz w:val="18"/>
          <w:szCs w:val="18"/>
          <w:lang w:val="mk-MK"/>
        </w:rPr>
      </w:pPr>
      <w:r w:rsidRPr="000F374D">
        <w:rPr>
          <w:rStyle w:val="FootnoteReference"/>
          <w:sz w:val="18"/>
          <w:szCs w:val="18"/>
        </w:rPr>
        <w:footnoteRef/>
      </w:r>
      <w:r w:rsidRPr="00D22DB7">
        <w:rPr>
          <w:sz w:val="18"/>
          <w:szCs w:val="18"/>
          <w:lang w:val="mk-MK"/>
        </w:rPr>
        <w:t xml:space="preserve"> </w:t>
      </w:r>
      <w:r w:rsidRPr="000F374D">
        <w:rPr>
          <w:sz w:val="18"/>
          <w:szCs w:val="18"/>
          <w:lang w:val="mk-MK"/>
        </w:rPr>
        <w:t xml:space="preserve"> </w:t>
      </w:r>
      <w:r>
        <w:rPr>
          <w:sz w:val="18"/>
          <w:szCs w:val="18"/>
          <w:lang w:val="mk-MK"/>
        </w:rPr>
        <w:t>Една банка оствари добивка, а една банка што работеше со загуба се присоедини кон друга банка.</w:t>
      </w:r>
    </w:p>
  </w:footnote>
  <w:footnote w:id="51">
    <w:p w:rsidR="006F63B5" w:rsidRPr="00303B89" w:rsidRDefault="006F63B5" w:rsidP="00BD2F10">
      <w:pPr>
        <w:pStyle w:val="FootnoteText"/>
        <w:ind w:left="-4536"/>
        <w:rPr>
          <w:rFonts w:cs="Tahoma"/>
          <w:sz w:val="18"/>
          <w:szCs w:val="18"/>
          <w:lang w:val="mk-MK"/>
        </w:rPr>
      </w:pPr>
      <w:r w:rsidRPr="00895FFC">
        <w:rPr>
          <w:rStyle w:val="FootnoteReference"/>
          <w:sz w:val="18"/>
          <w:szCs w:val="18"/>
        </w:rPr>
        <w:footnoteRef/>
      </w:r>
      <w:r w:rsidRPr="00D22DB7">
        <w:rPr>
          <w:sz w:val="18"/>
          <w:szCs w:val="18"/>
          <w:lang w:val="mk-MK"/>
        </w:rPr>
        <w:t xml:space="preserve"> Во вкупните редовни приходи се опфатени: нето каматниот приход, нето-приходите од провизии и другите редовни приходи (нето-приходите од тргување, нето-приходите од финансиски инструменти евидентирани по објективна вредност, нето-приходите од курсни разлики, приходите врз основа на дивиденди и капитални вложувања, </w:t>
      </w:r>
      <w:r>
        <w:rPr>
          <w:sz w:val="18"/>
          <w:szCs w:val="18"/>
          <w:lang w:val="mk-MK"/>
        </w:rPr>
        <w:t>нето-</w:t>
      </w:r>
      <w:r w:rsidRPr="00D22DB7">
        <w:rPr>
          <w:sz w:val="18"/>
          <w:szCs w:val="18"/>
          <w:lang w:val="mk-MK"/>
        </w:rPr>
        <w:t xml:space="preserve">добивката од продажба на финансиски средства расположливи за продажба, капитални добивки </w:t>
      </w:r>
      <w:r w:rsidRPr="00D22DB7">
        <w:rPr>
          <w:rFonts w:cs="Tahoma"/>
          <w:sz w:val="18"/>
          <w:szCs w:val="18"/>
          <w:lang w:val="mk-MK"/>
        </w:rPr>
        <w:t xml:space="preserve">остварени од продажба на средства, ослободувањето </w:t>
      </w:r>
      <w:r>
        <w:rPr>
          <w:rFonts w:cs="Tahoma"/>
          <w:sz w:val="18"/>
          <w:szCs w:val="18"/>
          <w:lang w:val="mk-MK"/>
        </w:rPr>
        <w:t xml:space="preserve">на </w:t>
      </w:r>
      <w:r w:rsidRPr="00D22DB7">
        <w:rPr>
          <w:rFonts w:cs="Tahoma"/>
          <w:sz w:val="18"/>
          <w:szCs w:val="18"/>
          <w:lang w:val="mk-MK"/>
        </w:rPr>
        <w:t>резервирања</w:t>
      </w:r>
      <w:r>
        <w:rPr>
          <w:rFonts w:cs="Tahoma"/>
          <w:sz w:val="18"/>
          <w:szCs w:val="18"/>
          <w:lang w:val="mk-MK"/>
        </w:rPr>
        <w:t>та</w:t>
      </w:r>
      <w:r w:rsidRPr="00D22DB7">
        <w:rPr>
          <w:rFonts w:cs="Tahoma"/>
          <w:sz w:val="18"/>
          <w:szCs w:val="18"/>
          <w:lang w:val="mk-MK"/>
        </w:rPr>
        <w:t xml:space="preserve"> за вонбилансни ставки, ослободувањето на останатите резервирања, приходи по други основи</w:t>
      </w:r>
      <w:r>
        <w:rPr>
          <w:rFonts w:cs="Tahoma"/>
          <w:sz w:val="18"/>
          <w:szCs w:val="18"/>
          <w:lang w:val="mk-MK"/>
        </w:rPr>
        <w:t xml:space="preserve"> и</w:t>
      </w:r>
      <w:r w:rsidRPr="00D22DB7">
        <w:rPr>
          <w:rFonts w:cs="Tahoma"/>
          <w:sz w:val="18"/>
          <w:szCs w:val="18"/>
          <w:lang w:val="mk-MK"/>
        </w:rPr>
        <w:t xml:space="preserve"> приходите врз основа на наплатени претходно отпишани побарувања).</w:t>
      </w:r>
    </w:p>
  </w:footnote>
  <w:footnote w:id="52">
    <w:p w:rsidR="006F63B5" w:rsidRDefault="006F63B5" w:rsidP="00BD2F10">
      <w:pPr>
        <w:pStyle w:val="FootnoteText"/>
        <w:ind w:left="-4536"/>
        <w:rPr>
          <w:sz w:val="18"/>
          <w:szCs w:val="18"/>
          <w:lang w:val="mk-MK"/>
        </w:rPr>
      </w:pPr>
      <w:r w:rsidRPr="00CA0FEC">
        <w:rPr>
          <w:rStyle w:val="FootnoteReference"/>
          <w:sz w:val="18"/>
          <w:szCs w:val="18"/>
        </w:rPr>
        <w:footnoteRef/>
      </w:r>
      <w:r w:rsidRPr="00D22DB7">
        <w:rPr>
          <w:sz w:val="18"/>
          <w:szCs w:val="18"/>
          <w:lang w:val="mk-MK"/>
        </w:rPr>
        <w:t xml:space="preserve"> </w:t>
      </w:r>
      <w:r w:rsidRPr="00CA0FEC">
        <w:rPr>
          <w:sz w:val="18"/>
          <w:szCs w:val="18"/>
          <w:lang w:val="mk-MK"/>
        </w:rPr>
        <w:t xml:space="preserve">Останатите редовни приходи </w:t>
      </w:r>
      <w:r>
        <w:rPr>
          <w:sz w:val="18"/>
          <w:szCs w:val="18"/>
          <w:lang w:val="mk-MK"/>
        </w:rPr>
        <w:t>придонесоа за</w:t>
      </w:r>
      <w:r w:rsidRPr="00CA0FEC">
        <w:rPr>
          <w:sz w:val="18"/>
          <w:szCs w:val="18"/>
          <w:lang w:val="mk-MK"/>
        </w:rPr>
        <w:t xml:space="preserve"> зголемувањето на вкупните приходи на банките со 22,5%.</w:t>
      </w:r>
    </w:p>
  </w:footnote>
  <w:footnote w:id="53">
    <w:p w:rsidR="006F63B5" w:rsidRPr="009A0FDF" w:rsidRDefault="006F63B5" w:rsidP="00BD2F10">
      <w:pPr>
        <w:pStyle w:val="FootnoteText"/>
        <w:ind w:left="-4536"/>
        <w:rPr>
          <w:sz w:val="18"/>
          <w:szCs w:val="18"/>
          <w:lang w:val="mk-MK"/>
        </w:rPr>
      </w:pPr>
      <w:r w:rsidRPr="009A0FDF">
        <w:rPr>
          <w:rStyle w:val="FootnoteReference"/>
          <w:sz w:val="18"/>
          <w:szCs w:val="18"/>
        </w:rPr>
        <w:footnoteRef/>
      </w:r>
      <w:r w:rsidRPr="00D22DB7">
        <w:rPr>
          <w:sz w:val="18"/>
          <w:szCs w:val="18"/>
          <w:lang w:val="mk-MK"/>
        </w:rPr>
        <w:t xml:space="preserve"> </w:t>
      </w:r>
      <w:r w:rsidRPr="009A0FDF">
        <w:rPr>
          <w:sz w:val="18"/>
          <w:szCs w:val="18"/>
          <w:lang w:val="mk-MK"/>
        </w:rPr>
        <w:t xml:space="preserve">На </w:t>
      </w:r>
      <w:r>
        <w:rPr>
          <w:sz w:val="18"/>
          <w:szCs w:val="18"/>
          <w:lang w:val="mk-MK"/>
        </w:rPr>
        <w:t>31.3.2012 година, вложувањата на банките во благајнички записи изнесуваа 40.416 милиони денари по каматна стапка од 4,0%. На 31.3.2013 година, вложувањата на банките во овој инструмент се свед</w:t>
      </w:r>
      <w:r w:rsidRPr="00D22DB7">
        <w:rPr>
          <w:sz w:val="18"/>
          <w:szCs w:val="18"/>
          <w:lang w:val="mk-MK"/>
        </w:rPr>
        <w:t>e</w:t>
      </w:r>
      <w:r>
        <w:rPr>
          <w:sz w:val="18"/>
          <w:szCs w:val="18"/>
          <w:lang w:val="mk-MK"/>
        </w:rPr>
        <w:t xml:space="preserve"> на 23.998 милиони денари по каматна стапка од 3,42%. </w:t>
      </w:r>
    </w:p>
  </w:footnote>
  <w:footnote w:id="54">
    <w:p w:rsidR="006F63B5" w:rsidRPr="00A5354E" w:rsidRDefault="006F63B5" w:rsidP="00BD2F10">
      <w:pPr>
        <w:pStyle w:val="FootnoteText"/>
        <w:ind w:left="-4536"/>
        <w:rPr>
          <w:lang w:val="mk-MK"/>
        </w:rPr>
      </w:pPr>
      <w:r>
        <w:rPr>
          <w:rStyle w:val="FootnoteReference"/>
        </w:rPr>
        <w:footnoteRef/>
      </w:r>
      <w:r w:rsidRPr="00D22DB7">
        <w:rPr>
          <w:lang w:val="mk-MK"/>
        </w:rPr>
        <w:t xml:space="preserve"> </w:t>
      </w:r>
      <w:r w:rsidRPr="00FD0238">
        <w:rPr>
          <w:sz w:val="18"/>
          <w:szCs w:val="18"/>
          <w:lang w:val="mk-MK"/>
        </w:rPr>
        <w:t xml:space="preserve">Каматниот приход од вложувања во државни записи е вклучен во категоријата „каматен приход од останати субјекти“ којшто </w:t>
      </w:r>
      <w:r>
        <w:rPr>
          <w:sz w:val="18"/>
          <w:szCs w:val="18"/>
          <w:lang w:val="mk-MK"/>
        </w:rPr>
        <w:t>во</w:t>
      </w:r>
      <w:r w:rsidRPr="00FD0238">
        <w:rPr>
          <w:sz w:val="18"/>
          <w:szCs w:val="18"/>
          <w:lang w:val="mk-MK"/>
        </w:rPr>
        <w:t xml:space="preserve"> </w:t>
      </w:r>
      <w:r>
        <w:rPr>
          <w:sz w:val="18"/>
          <w:szCs w:val="18"/>
          <w:lang w:val="mk-MK"/>
        </w:rPr>
        <w:t xml:space="preserve">првите три месеци од </w:t>
      </w:r>
      <w:r w:rsidRPr="00FD0238">
        <w:rPr>
          <w:sz w:val="18"/>
          <w:szCs w:val="18"/>
          <w:lang w:val="mk-MK"/>
        </w:rPr>
        <w:t>201</w:t>
      </w:r>
      <w:r>
        <w:rPr>
          <w:sz w:val="18"/>
          <w:szCs w:val="18"/>
          <w:lang w:val="mk-MK"/>
        </w:rPr>
        <w:t>3</w:t>
      </w:r>
      <w:r w:rsidRPr="00FD0238">
        <w:rPr>
          <w:sz w:val="18"/>
          <w:szCs w:val="18"/>
          <w:lang w:val="mk-MK"/>
        </w:rPr>
        <w:t xml:space="preserve"> година се зголеми за </w:t>
      </w:r>
      <w:r>
        <w:rPr>
          <w:sz w:val="18"/>
          <w:szCs w:val="18"/>
          <w:lang w:val="mk-MK"/>
        </w:rPr>
        <w:t xml:space="preserve">133,5 </w:t>
      </w:r>
      <w:r w:rsidRPr="00FD0238">
        <w:rPr>
          <w:sz w:val="18"/>
          <w:szCs w:val="18"/>
          <w:lang w:val="mk-MK"/>
        </w:rPr>
        <w:t xml:space="preserve">милиони денари, односно за </w:t>
      </w:r>
      <w:r>
        <w:rPr>
          <w:sz w:val="18"/>
          <w:szCs w:val="18"/>
          <w:lang w:val="mk-MK"/>
        </w:rPr>
        <w:t>79,0</w:t>
      </w:r>
      <w:r w:rsidRPr="00FD0238">
        <w:rPr>
          <w:sz w:val="18"/>
          <w:szCs w:val="18"/>
          <w:lang w:val="mk-MK"/>
        </w:rPr>
        <w:t>%</w:t>
      </w:r>
      <w:r>
        <w:rPr>
          <w:sz w:val="18"/>
          <w:szCs w:val="18"/>
          <w:lang w:val="mk-MK"/>
        </w:rPr>
        <w:t xml:space="preserve">. На 31.3.2012 година, износот на државни записи изнесуваше 14.658 милиони денари, а на 31.3.2013 година се дуплира и изнесува 30.740 милиони денари.  </w:t>
      </w:r>
    </w:p>
  </w:footnote>
  <w:footnote w:id="55">
    <w:p w:rsidR="006F63B5" w:rsidRPr="00CF0636" w:rsidRDefault="006F63B5" w:rsidP="00BD2F10">
      <w:pPr>
        <w:pStyle w:val="FootnoteText"/>
        <w:ind w:left="-4536"/>
        <w:rPr>
          <w:sz w:val="18"/>
          <w:szCs w:val="18"/>
          <w:lang w:val="mk-MK"/>
        </w:rPr>
      </w:pPr>
      <w:r w:rsidRPr="00CF0636">
        <w:rPr>
          <w:rStyle w:val="FootnoteReference"/>
          <w:sz w:val="18"/>
          <w:szCs w:val="18"/>
        </w:rPr>
        <w:footnoteRef/>
      </w:r>
      <w:r w:rsidRPr="00D22DB7">
        <w:rPr>
          <w:sz w:val="18"/>
          <w:szCs w:val="18"/>
          <w:lang w:val="mk-MK"/>
        </w:rPr>
        <w:t xml:space="preserve"> </w:t>
      </w:r>
      <w:r w:rsidRPr="00CF0636">
        <w:rPr>
          <w:sz w:val="18"/>
          <w:szCs w:val="18"/>
          <w:lang w:val="mk-MK"/>
        </w:rPr>
        <w:t xml:space="preserve">Од нив, најзабележително е намалувањето на каматните расходи за </w:t>
      </w:r>
      <w:r>
        <w:rPr>
          <w:sz w:val="18"/>
          <w:szCs w:val="18"/>
          <w:lang w:val="mk-MK"/>
        </w:rPr>
        <w:t xml:space="preserve">краткорочно и долгорочно </w:t>
      </w:r>
      <w:r w:rsidRPr="00CF0636">
        <w:rPr>
          <w:sz w:val="18"/>
          <w:szCs w:val="18"/>
          <w:lang w:val="mk-MK"/>
        </w:rPr>
        <w:t>орочени</w:t>
      </w:r>
      <w:r>
        <w:rPr>
          <w:sz w:val="18"/>
          <w:szCs w:val="18"/>
          <w:lang w:val="mk-MK"/>
        </w:rPr>
        <w:t>те</w:t>
      </w:r>
      <w:r w:rsidRPr="00CF0636">
        <w:rPr>
          <w:sz w:val="18"/>
          <w:szCs w:val="18"/>
          <w:lang w:val="mk-MK"/>
        </w:rPr>
        <w:t xml:space="preserve"> </w:t>
      </w:r>
      <w:r>
        <w:rPr>
          <w:sz w:val="18"/>
          <w:szCs w:val="18"/>
          <w:lang w:val="mk-MK"/>
        </w:rPr>
        <w:t xml:space="preserve">денарски </w:t>
      </w:r>
      <w:r w:rsidRPr="00CF0636">
        <w:rPr>
          <w:sz w:val="18"/>
          <w:szCs w:val="18"/>
          <w:lang w:val="mk-MK"/>
        </w:rPr>
        <w:t xml:space="preserve">депозити </w:t>
      </w:r>
      <w:r>
        <w:rPr>
          <w:sz w:val="18"/>
          <w:szCs w:val="18"/>
          <w:lang w:val="mk-MK"/>
        </w:rPr>
        <w:t xml:space="preserve">каде </w:t>
      </w:r>
      <w:r w:rsidRPr="00CF0636">
        <w:rPr>
          <w:sz w:val="18"/>
          <w:szCs w:val="18"/>
          <w:lang w:val="mk-MK"/>
        </w:rPr>
        <w:t>што е забележан и најголем пад на каматните стапки од 1,</w:t>
      </w:r>
      <w:r>
        <w:rPr>
          <w:sz w:val="18"/>
          <w:szCs w:val="18"/>
          <w:lang w:val="mk-MK"/>
        </w:rPr>
        <w:t>2 и 1,0</w:t>
      </w:r>
      <w:r w:rsidRPr="00CF0636">
        <w:rPr>
          <w:sz w:val="18"/>
          <w:szCs w:val="18"/>
          <w:lang w:val="mk-MK"/>
        </w:rPr>
        <w:t xml:space="preserve"> процентни поени</w:t>
      </w:r>
      <w:r>
        <w:rPr>
          <w:sz w:val="18"/>
          <w:szCs w:val="18"/>
          <w:lang w:val="mk-MK"/>
        </w:rPr>
        <w:t xml:space="preserve">, </w:t>
      </w:r>
      <w:r>
        <w:rPr>
          <w:rFonts w:cs="Tahoma"/>
          <w:sz w:val="18"/>
          <w:szCs w:val="18"/>
          <w:lang w:val="mk-MK"/>
        </w:rPr>
        <w:t>соодветно</w:t>
      </w:r>
      <w:r w:rsidRPr="00CF0636">
        <w:rPr>
          <w:sz w:val="18"/>
          <w:szCs w:val="18"/>
          <w:lang w:val="mk-MK"/>
        </w:rPr>
        <w:t>.</w:t>
      </w:r>
    </w:p>
  </w:footnote>
  <w:footnote w:id="56">
    <w:p w:rsidR="006F63B5" w:rsidRPr="00CE3B85" w:rsidRDefault="006F63B5" w:rsidP="00BD2F10">
      <w:pPr>
        <w:pStyle w:val="FootnoteText"/>
        <w:ind w:left="-4536"/>
        <w:rPr>
          <w:sz w:val="18"/>
          <w:szCs w:val="18"/>
          <w:lang w:val="mk-MK"/>
        </w:rPr>
      </w:pPr>
      <w:r w:rsidRPr="00CE3B85">
        <w:rPr>
          <w:rStyle w:val="FootnoteReference"/>
          <w:sz w:val="18"/>
          <w:szCs w:val="18"/>
        </w:rPr>
        <w:footnoteRef/>
      </w:r>
      <w:r w:rsidRPr="00D22DB7">
        <w:rPr>
          <w:sz w:val="18"/>
          <w:szCs w:val="18"/>
          <w:lang w:val="mk-MK"/>
        </w:rPr>
        <w:t xml:space="preserve"> </w:t>
      </w:r>
      <w:r>
        <w:rPr>
          <w:sz w:val="18"/>
          <w:szCs w:val="18"/>
          <w:lang w:val="mk-MK"/>
        </w:rPr>
        <w:t xml:space="preserve">Најголем дел произлегува од намалувањето на расходите за камата на нерезидентите, и тоа пред </w:t>
      </w:r>
      <w:r w:rsidRPr="00D22DB7">
        <w:rPr>
          <w:sz w:val="18"/>
          <w:szCs w:val="18"/>
          <w:lang w:val="mk-MK"/>
        </w:rPr>
        <w:t>сѐ</w:t>
      </w:r>
      <w:r>
        <w:rPr>
          <w:sz w:val="18"/>
          <w:szCs w:val="18"/>
          <w:lang w:val="mk-MK"/>
        </w:rPr>
        <w:t xml:space="preserve"> за нерезидентите - финансиски друштва. </w:t>
      </w:r>
    </w:p>
  </w:footnote>
  <w:footnote w:id="57">
    <w:p w:rsidR="006F63B5" w:rsidRPr="00333D92" w:rsidRDefault="006F63B5" w:rsidP="00BD2F10">
      <w:pPr>
        <w:pStyle w:val="FootnoteText"/>
        <w:ind w:left="-4536"/>
        <w:rPr>
          <w:rFonts w:cs="Tahoma"/>
          <w:sz w:val="18"/>
          <w:szCs w:val="18"/>
          <w:lang w:val="mk-MK"/>
        </w:rPr>
      </w:pPr>
      <w:r>
        <w:rPr>
          <w:rStyle w:val="FootnoteReference"/>
          <w:rFonts w:cs="Tahoma"/>
          <w:sz w:val="18"/>
          <w:szCs w:val="18"/>
        </w:rPr>
        <w:footnoteRef/>
      </w:r>
      <w:r>
        <w:rPr>
          <w:rFonts w:cs="Tahoma"/>
          <w:sz w:val="18"/>
          <w:szCs w:val="18"/>
          <w:lang w:val="mk-MK"/>
        </w:rPr>
        <w:t xml:space="preserve"> </w:t>
      </w:r>
      <w:r w:rsidRPr="001B723A">
        <w:rPr>
          <w:rFonts w:cs="Tahoma"/>
          <w:sz w:val="18"/>
          <w:szCs w:val="18"/>
          <w:lang w:val="mk-MK"/>
        </w:rPr>
        <w:t>Оперативните трошоци ги опфаќаат: трошоците за вработени, амортизацијата</w:t>
      </w:r>
      <w:r w:rsidRPr="00B02FE7">
        <w:rPr>
          <w:rFonts w:cs="Tahoma"/>
          <w:sz w:val="18"/>
          <w:szCs w:val="18"/>
          <w:lang w:val="mk-MK"/>
        </w:rPr>
        <w:t>, општите и административните трошоци, премиите за осигурување депозити и останатите расходи, освен вонредните расходи.</w:t>
      </w:r>
    </w:p>
  </w:footnote>
  <w:footnote w:id="58">
    <w:p w:rsidR="006F63B5" w:rsidRPr="00B02FE7" w:rsidRDefault="006F63B5" w:rsidP="00BD2F10">
      <w:pPr>
        <w:pStyle w:val="FootnoteText"/>
        <w:ind w:left="-4536"/>
        <w:rPr>
          <w:rFonts w:cs="Tahoma"/>
          <w:sz w:val="18"/>
          <w:szCs w:val="18"/>
          <w:lang w:val="mk-MK"/>
        </w:rPr>
      </w:pPr>
      <w:r w:rsidRPr="00B02FE7">
        <w:rPr>
          <w:rStyle w:val="FootnoteReference"/>
          <w:rFonts w:cs="Tahoma"/>
          <w:sz w:val="18"/>
          <w:szCs w:val="18"/>
        </w:rPr>
        <w:footnoteRef/>
      </w:r>
      <w:r>
        <w:rPr>
          <w:rFonts w:cs="Tahoma"/>
          <w:sz w:val="18"/>
          <w:szCs w:val="18"/>
          <w:lang w:val="mk-MK"/>
        </w:rPr>
        <w:t xml:space="preserve"> </w:t>
      </w:r>
      <w:r w:rsidRPr="00B02FE7">
        <w:rPr>
          <w:rFonts w:cs="Tahoma"/>
          <w:sz w:val="18"/>
          <w:szCs w:val="18"/>
          <w:lang w:val="mk-MK"/>
        </w:rPr>
        <w:t>Останатите оперативни трошоци вклучуваат</w:t>
      </w:r>
      <w:r>
        <w:rPr>
          <w:rFonts w:cs="Tahoma"/>
          <w:sz w:val="18"/>
          <w:szCs w:val="18"/>
          <w:lang w:val="mk-MK"/>
        </w:rPr>
        <w:t>:</w:t>
      </w:r>
      <w:r w:rsidRPr="00B02FE7">
        <w:rPr>
          <w:rFonts w:cs="Tahoma"/>
          <w:sz w:val="18"/>
          <w:szCs w:val="18"/>
          <w:lang w:val="mk-MK"/>
        </w:rPr>
        <w:t xml:space="preserve"> посебна резерва за вонбилансна изложеност, останати резервирања и расходи по други основи (трошоци од минати години, даноци и придонеси од приход, трошоци за парични казни, такси и судски решенија </w:t>
      </w:r>
      <w:r w:rsidRPr="00EE2CDA">
        <w:rPr>
          <w:rFonts w:cs="Tahoma"/>
          <w:sz w:val="18"/>
          <w:szCs w:val="18"/>
          <w:lang w:val="mk-MK"/>
        </w:rPr>
        <w:t>и дру</w:t>
      </w:r>
      <w:r>
        <w:rPr>
          <w:rFonts w:cs="Tahoma"/>
          <w:sz w:val="18"/>
          <w:szCs w:val="18"/>
          <w:lang w:val="mk-MK"/>
        </w:rPr>
        <w:t>ги трошоци).</w:t>
      </w:r>
      <w:r w:rsidRPr="007D5A0D">
        <w:rPr>
          <w:sz w:val="18"/>
          <w:szCs w:val="18"/>
          <w:lang w:val="mk-MK"/>
        </w:rPr>
        <w:t xml:space="preserve"> </w:t>
      </w:r>
      <w:r>
        <w:rPr>
          <w:sz w:val="18"/>
          <w:szCs w:val="18"/>
          <w:lang w:val="mk-MK"/>
        </w:rPr>
        <w:t xml:space="preserve">Растот на овие трошоци </w:t>
      </w:r>
      <w:r w:rsidRPr="00EE6B2F">
        <w:rPr>
          <w:sz w:val="18"/>
          <w:szCs w:val="18"/>
          <w:lang w:val="mk-MK"/>
        </w:rPr>
        <w:t>во најголем дел произлегува од дополнителни</w:t>
      </w:r>
      <w:r>
        <w:rPr>
          <w:sz w:val="18"/>
          <w:szCs w:val="18"/>
          <w:lang w:val="mk-MK"/>
        </w:rPr>
        <w:t>те</w:t>
      </w:r>
      <w:r w:rsidRPr="00EE6B2F">
        <w:rPr>
          <w:sz w:val="18"/>
          <w:szCs w:val="18"/>
          <w:lang w:val="mk-MK"/>
        </w:rPr>
        <w:t xml:space="preserve"> резервирања за потенцијалните обврски врз основа на судски спорови кај една банка и зголемени расходи по други основи кај две банки во земјата</w:t>
      </w:r>
      <w:r>
        <w:rPr>
          <w:sz w:val="18"/>
          <w:szCs w:val="18"/>
          <w:lang w:val="mk-MK"/>
        </w:rPr>
        <w:t>.</w:t>
      </w:r>
    </w:p>
  </w:footnote>
  <w:footnote w:id="59">
    <w:p w:rsidR="006F63B5" w:rsidRPr="00BF1CED" w:rsidRDefault="006F63B5" w:rsidP="00BD2F10">
      <w:pPr>
        <w:autoSpaceDE w:val="0"/>
        <w:autoSpaceDN w:val="0"/>
        <w:adjustRightInd w:val="0"/>
        <w:ind w:left="-4536"/>
        <w:rPr>
          <w:sz w:val="18"/>
          <w:szCs w:val="18"/>
          <w:lang w:val="mk-MK"/>
        </w:rPr>
      </w:pPr>
      <w:r w:rsidRPr="00BF1CED">
        <w:rPr>
          <w:rStyle w:val="FootnoteReference"/>
          <w:sz w:val="18"/>
          <w:szCs w:val="18"/>
        </w:rPr>
        <w:footnoteRef/>
      </w:r>
      <w:r w:rsidRPr="00D22DB7">
        <w:rPr>
          <w:sz w:val="18"/>
          <w:szCs w:val="18"/>
          <w:lang w:val="mk-MK"/>
        </w:rPr>
        <w:t xml:space="preserve"> </w:t>
      </w:r>
      <w:r>
        <w:rPr>
          <w:sz w:val="18"/>
          <w:szCs w:val="18"/>
          <w:lang w:val="mk-MK"/>
        </w:rPr>
        <w:t>Н</w:t>
      </w:r>
      <w:r w:rsidRPr="00BF1CED">
        <w:rPr>
          <w:sz w:val="18"/>
          <w:szCs w:val="18"/>
          <w:lang w:val="mk-MK"/>
        </w:rPr>
        <w:t xml:space="preserve">а крајот на </w:t>
      </w:r>
      <w:r>
        <w:rPr>
          <w:sz w:val="18"/>
          <w:szCs w:val="18"/>
          <w:lang w:val="mk-MK"/>
        </w:rPr>
        <w:t xml:space="preserve">првиот квартал од </w:t>
      </w:r>
      <w:r w:rsidRPr="00BF1CED">
        <w:rPr>
          <w:sz w:val="18"/>
          <w:szCs w:val="18"/>
          <w:lang w:val="mk-MK"/>
        </w:rPr>
        <w:t>201</w:t>
      </w:r>
      <w:r>
        <w:rPr>
          <w:sz w:val="18"/>
          <w:szCs w:val="18"/>
          <w:lang w:val="mk-MK"/>
        </w:rPr>
        <w:t>3</w:t>
      </w:r>
      <w:r w:rsidRPr="00BF1CED">
        <w:rPr>
          <w:sz w:val="18"/>
          <w:szCs w:val="18"/>
          <w:lang w:val="mk-MK"/>
        </w:rPr>
        <w:t xml:space="preserve"> година</w:t>
      </w:r>
      <w:r>
        <w:rPr>
          <w:sz w:val="18"/>
          <w:szCs w:val="18"/>
          <w:lang w:val="mk-MK"/>
        </w:rPr>
        <w:t>, и</w:t>
      </w:r>
      <w:r w:rsidRPr="00BF1CED">
        <w:rPr>
          <w:sz w:val="18"/>
          <w:szCs w:val="18"/>
          <w:lang w:val="mk-MK"/>
        </w:rPr>
        <w:t xml:space="preserve">справката на вредноста на нефинансиските средства достигна </w:t>
      </w:r>
      <w:r>
        <w:rPr>
          <w:sz w:val="18"/>
          <w:szCs w:val="18"/>
          <w:lang w:val="mk-MK"/>
        </w:rPr>
        <w:t>158</w:t>
      </w:r>
      <w:r w:rsidRPr="00BF1CED">
        <w:rPr>
          <w:sz w:val="18"/>
          <w:szCs w:val="18"/>
          <w:lang w:val="mk-MK"/>
        </w:rPr>
        <w:t xml:space="preserve"> милиони денари и на годишна основа се зголеми за </w:t>
      </w:r>
      <w:r>
        <w:rPr>
          <w:sz w:val="18"/>
          <w:szCs w:val="18"/>
          <w:lang w:val="mk-MK"/>
        </w:rPr>
        <w:t>108,4</w:t>
      </w:r>
      <w:r w:rsidRPr="00BF1CED">
        <w:rPr>
          <w:sz w:val="18"/>
          <w:szCs w:val="18"/>
          <w:lang w:val="mk-MK"/>
        </w:rPr>
        <w:t xml:space="preserve"> милиони денари, или за </w:t>
      </w:r>
      <w:r>
        <w:rPr>
          <w:sz w:val="18"/>
          <w:szCs w:val="18"/>
          <w:lang w:val="mk-MK"/>
        </w:rPr>
        <w:t>2,2</w:t>
      </w:r>
      <w:r w:rsidRPr="00BF1CED">
        <w:rPr>
          <w:sz w:val="18"/>
          <w:szCs w:val="18"/>
          <w:lang w:val="mk-MK"/>
        </w:rPr>
        <w:t xml:space="preserve"> пати. </w:t>
      </w:r>
      <w:r>
        <w:rPr>
          <w:sz w:val="18"/>
          <w:szCs w:val="18"/>
          <w:lang w:val="mk-MK"/>
        </w:rPr>
        <w:t>З</w:t>
      </w:r>
      <w:r w:rsidRPr="00BF1CED">
        <w:rPr>
          <w:sz w:val="18"/>
          <w:szCs w:val="18"/>
          <w:lang w:val="mk-MK"/>
        </w:rPr>
        <w:t>големување</w:t>
      </w:r>
      <w:r>
        <w:rPr>
          <w:sz w:val="18"/>
          <w:szCs w:val="18"/>
          <w:lang w:val="mk-MK"/>
        </w:rPr>
        <w:t>то</w:t>
      </w:r>
      <w:r w:rsidRPr="00BF1CED">
        <w:rPr>
          <w:sz w:val="18"/>
          <w:szCs w:val="18"/>
          <w:lang w:val="mk-MK"/>
        </w:rPr>
        <w:t xml:space="preserve"> на овој вид исправка на вредноста главно </w:t>
      </w:r>
      <w:r>
        <w:rPr>
          <w:sz w:val="18"/>
          <w:szCs w:val="18"/>
          <w:lang w:val="mk-MK"/>
        </w:rPr>
        <w:t xml:space="preserve">е </w:t>
      </w:r>
      <w:r w:rsidRPr="00BF1CED">
        <w:rPr>
          <w:sz w:val="18"/>
          <w:szCs w:val="18"/>
          <w:lang w:val="mk-MK"/>
        </w:rPr>
        <w:t xml:space="preserve">резултат на донесената Одлука за измени и дополнувања на Одлуката за сметководствениот и регулаторниот третман на преземените средства врз основа на ненаплатени побарувања </w:t>
      </w:r>
      <w:r>
        <w:rPr>
          <w:rFonts w:cs="Tahoma"/>
          <w:sz w:val="18"/>
          <w:szCs w:val="18"/>
          <w:lang w:val="mk-MK"/>
        </w:rPr>
        <w:t xml:space="preserve">(„Службен весник на Република Македонија“ бр. 74/2012) </w:t>
      </w:r>
      <w:r w:rsidRPr="00BF1CED">
        <w:rPr>
          <w:sz w:val="18"/>
          <w:szCs w:val="18"/>
          <w:lang w:val="mk-MK"/>
        </w:rPr>
        <w:t>во јуни 2012 година</w:t>
      </w:r>
      <w:r>
        <w:rPr>
          <w:sz w:val="18"/>
          <w:szCs w:val="18"/>
          <w:lang w:val="mk-MK"/>
        </w:rPr>
        <w:t>, според која</w:t>
      </w:r>
      <w:r>
        <w:rPr>
          <w:rFonts w:cs="Tahoma"/>
          <w:sz w:val="18"/>
          <w:szCs w:val="18"/>
          <w:lang w:val="mk-MK"/>
        </w:rPr>
        <w:t xml:space="preserve"> банките се должни во билансот на успех да признаат загуба за оштетување на средствата преземени до 1.1.2010 година во висина од најмалку 20% од нивната вредност (според точно утврдени правила во споменатата одлука) најдоцна до 1.1.2013 година. </w:t>
      </w:r>
    </w:p>
  </w:footnote>
  <w:footnote w:id="60">
    <w:p w:rsidR="006F63B5" w:rsidRPr="00C243E7" w:rsidRDefault="006F63B5" w:rsidP="00BD2F10">
      <w:pPr>
        <w:pStyle w:val="FootnoteText"/>
        <w:ind w:left="-4395"/>
        <w:rPr>
          <w:lang w:val="mk-MK"/>
        </w:rPr>
      </w:pPr>
      <w:r>
        <w:rPr>
          <w:rStyle w:val="FootnoteReference"/>
        </w:rPr>
        <w:footnoteRef/>
      </w:r>
      <w:r w:rsidRPr="00C30EF7">
        <w:rPr>
          <w:lang w:val="mk-MK"/>
        </w:rPr>
        <w:t xml:space="preserve"> </w:t>
      </w:r>
      <w:r w:rsidRPr="00C30EF7">
        <w:rPr>
          <w:sz w:val="18"/>
          <w:szCs w:val="18"/>
          <w:lang w:val="mk-MK"/>
        </w:rPr>
        <w:t xml:space="preserve">Профитната маргина претставува однос на добивката (загубата) од работењето и вкупните редовни приходи. </w:t>
      </w:r>
      <w:r w:rsidRPr="00C30EF7">
        <w:rPr>
          <w:lang w:val="mk-MK"/>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B5" w:rsidRDefault="006F63B5" w:rsidP="00620347">
    <w:pPr>
      <w:pStyle w:val="Header"/>
      <w:pBdr>
        <w:bottom w:val="thickThinSmallGap" w:sz="24" w:space="1" w:color="1F497D" w:themeColor="text2"/>
      </w:pBdr>
      <w:tabs>
        <w:tab w:val="left" w:pos="90"/>
      </w:tabs>
      <w:ind w:left="-4500"/>
      <w:jc w:val="right"/>
    </w:pPr>
    <w:r w:rsidRPr="00F731B3">
      <w:rPr>
        <w:color w:val="1F497D" w:themeColor="text2"/>
        <w:sz w:val="18"/>
        <w:szCs w:val="18"/>
        <w:lang w:val="mk-MK"/>
      </w:rPr>
      <w:t>НАРОДНА БАНКА НА РЕПУБЛИКА МАКЕДОНИЈА</w:t>
    </w:r>
    <w:r w:rsidRPr="00EC4F52">
      <w:rPr>
        <w:rFonts w:eastAsia="Times New Roman" w:cs="Tahoma"/>
        <w:noProof/>
        <w:sz w:val="18"/>
        <w:szCs w:val="18"/>
      </w:rPr>
      <w:t xml:space="preserve"> </w:t>
    </w:r>
    <w:r>
      <w:rPr>
        <w:rFonts w:eastAsia="Times New Roman" w:cs="Tahoma"/>
        <w:noProof/>
        <w:sz w:val="18"/>
        <w:szCs w:val="18"/>
      </w:rPr>
      <w:drawing>
        <wp:inline distT="0" distB="0" distL="0" distR="0">
          <wp:extent cx="269240" cy="250190"/>
          <wp:effectExtent l="19050" t="0" r="0" b="0"/>
          <wp:docPr id="5"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6F63B5" w:rsidRDefault="006F63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3B5" w:rsidRPr="00F731B3" w:rsidRDefault="006F63B5" w:rsidP="00A75161">
    <w:pPr>
      <w:pStyle w:val="Header"/>
      <w:pBdr>
        <w:bottom w:val="thickThinSmallGap" w:sz="24" w:space="1" w:color="1F497D" w:themeColor="text2"/>
      </w:pBdr>
      <w:ind w:left="-4500"/>
      <w:jc w:val="right"/>
      <w:rPr>
        <w:color w:val="1F497D" w:themeColor="text2"/>
      </w:rPr>
    </w:pPr>
    <w:r w:rsidRPr="00F731B3">
      <w:rPr>
        <w:i/>
        <w:color w:val="1F497D" w:themeColor="text2"/>
        <w:sz w:val="18"/>
        <w:szCs w:val="18"/>
        <w:lang w:val="mk-MK"/>
      </w:rPr>
      <w:t xml:space="preserve">Извештај за </w:t>
    </w:r>
    <w:r>
      <w:rPr>
        <w:i/>
        <w:color w:val="1F497D" w:themeColor="text2"/>
        <w:sz w:val="18"/>
        <w:szCs w:val="18"/>
        <w:lang w:val="mk-MK"/>
      </w:rPr>
      <w:t xml:space="preserve">ризиците во </w:t>
    </w:r>
    <w:r w:rsidRPr="00F731B3">
      <w:rPr>
        <w:i/>
        <w:color w:val="1F497D" w:themeColor="text2"/>
        <w:sz w:val="18"/>
        <w:szCs w:val="18"/>
        <w:lang w:val="mk-MK"/>
      </w:rPr>
      <w:t xml:space="preserve">банкарскиот систем во </w:t>
    </w:r>
    <w:r>
      <w:rPr>
        <w:i/>
        <w:color w:val="1F497D" w:themeColor="text2"/>
        <w:sz w:val="18"/>
        <w:szCs w:val="18"/>
        <w:lang w:val="mk-MK"/>
      </w:rPr>
      <w:t>првиот к</w:t>
    </w:r>
    <w:r w:rsidRPr="00F51242">
      <w:rPr>
        <w:i/>
        <w:color w:val="1F497D" w:themeColor="text2"/>
        <w:sz w:val="18"/>
        <w:szCs w:val="18"/>
        <w:lang w:val="mk-MK"/>
      </w:rPr>
      <w:t>вартал од 201</w:t>
    </w:r>
    <w:r>
      <w:rPr>
        <w:i/>
        <w:color w:val="1F497D" w:themeColor="text2"/>
        <w:sz w:val="18"/>
        <w:szCs w:val="18"/>
        <w:lang w:val="mk-MK"/>
      </w:rPr>
      <w:t>3</w:t>
    </w:r>
    <w:r w:rsidRPr="00F51242">
      <w:rPr>
        <w:i/>
        <w:color w:val="1F497D" w:themeColor="text2"/>
        <w:sz w:val="18"/>
        <w:szCs w:val="18"/>
        <w:lang w:val="mk-MK"/>
      </w:rPr>
      <w:t xml:space="preserve"> година</w:t>
    </w:r>
    <w:r w:rsidRPr="00F731B3">
      <w:rPr>
        <w:rFonts w:eastAsia="Times New Roman" w:cs="Tahoma"/>
        <w:noProof/>
        <w:color w:val="1F497D" w:themeColor="text2"/>
        <w:sz w:val="18"/>
        <w:szCs w:val="18"/>
      </w:rPr>
      <w:t xml:space="preserve"> </w:t>
    </w:r>
    <w:r w:rsidRPr="00F731B3">
      <w:rPr>
        <w:rFonts w:eastAsia="Times New Roman" w:cs="Tahoma"/>
        <w:noProof/>
        <w:color w:val="1F497D" w:themeColor="text2"/>
        <w:sz w:val="18"/>
        <w:szCs w:val="18"/>
      </w:rPr>
      <w:drawing>
        <wp:inline distT="0" distB="0" distL="0" distR="0">
          <wp:extent cx="269240" cy="250190"/>
          <wp:effectExtent l="19050" t="0" r="0" b="0"/>
          <wp:docPr id="4"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6F63B5" w:rsidRDefault="006F63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F7B25"/>
    <w:multiLevelType w:val="multilevel"/>
    <w:tmpl w:val="1A14DBF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56776C6D"/>
    <w:multiLevelType w:val="hybridMultilevel"/>
    <w:tmpl w:val="D3FCE51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AE220D"/>
    <w:multiLevelType w:val="hybridMultilevel"/>
    <w:tmpl w:val="472CB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DA4CCB"/>
    <w:multiLevelType w:val="multilevel"/>
    <w:tmpl w:val="602CE2A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50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7EC21EE6"/>
    <w:multiLevelType w:val="multilevel"/>
    <w:tmpl w:val="1780D3B8"/>
    <w:lvl w:ilvl="0">
      <w:start w:val="1"/>
      <w:numFmt w:val="upperRoman"/>
      <w:pStyle w:val="Heading1"/>
      <w:lvlText w:val="%1."/>
      <w:lvlJc w:val="left"/>
      <w:pPr>
        <w:ind w:left="-4176" w:hanging="360"/>
      </w:pPr>
      <w:rPr>
        <w:rFonts w:ascii="Tahoma" w:hAnsi="Tahoma" w:hint="default"/>
        <w:b/>
        <w:bCs w:val="0"/>
        <w:i w:val="0"/>
        <w:iCs w:val="0"/>
        <w:caps w:val="0"/>
        <w:smallCaps w:val="0"/>
        <w:strike w:val="0"/>
        <w:dstrike w:val="0"/>
        <w:outline w:val="0"/>
        <w:shadow w:val="0"/>
        <w:emboss w:val="0"/>
        <w:imprint w:val="0"/>
        <w:noProof w:val="0"/>
        <w:vanish w:val="0"/>
        <w:spacing w:val="0"/>
        <w:kern w:val="0"/>
        <w:position w:val="0"/>
        <w:sz w:val="28"/>
        <w:u w:val="none"/>
        <w:vertAlign w:val="baseline"/>
        <w:em w:val="none"/>
      </w:rPr>
    </w:lvl>
    <w:lvl w:ilvl="1">
      <w:start w:val="1"/>
      <w:numFmt w:val="decimal"/>
      <w:pStyle w:val="Heading2"/>
      <w:lvlText w:val="%2."/>
      <w:lvlJc w:val="left"/>
      <w:pPr>
        <w:ind w:left="397" w:hanging="39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2.%3."/>
      <w:lvlJc w:val="right"/>
      <w:pPr>
        <w:ind w:left="1134" w:firstLine="0"/>
      </w:pPr>
      <w:rPr>
        <w:rFonts w:ascii="Tahoma" w:hAnsi="Tahoma" w:cs="Times New Roman" w:hint="default"/>
        <w:b/>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lvl w:ilvl="3">
      <w:start w:val="1"/>
      <w:numFmt w:val="decimal"/>
      <w:pStyle w:val="Heading4"/>
      <w:lvlText w:val="%2.%3.%4."/>
      <w:lvlJc w:val="left"/>
      <w:pPr>
        <w:ind w:left="6464" w:firstLine="196"/>
      </w:pPr>
      <w:rPr>
        <w:rFonts w:ascii="Tahoma" w:hAnsi="Tahoma" w:hint="default"/>
        <w:b/>
        <w:i w:val="0"/>
        <w:sz w:val="22"/>
      </w:rPr>
    </w:lvl>
    <w:lvl w:ilvl="4">
      <w:start w:val="1"/>
      <w:numFmt w:val="decimal"/>
      <w:pStyle w:val="Heading5"/>
      <w:lvlText w:val="%2.%3.%4.%5."/>
      <w:lvlJc w:val="left"/>
      <w:pPr>
        <w:ind w:left="7740" w:hanging="360"/>
      </w:pPr>
      <w:rPr>
        <w:rFonts w:ascii="Tahoma" w:hAnsi="Tahoma" w:hint="default"/>
        <w:b/>
        <w:i w:val="0"/>
        <w:sz w:val="22"/>
      </w:rPr>
    </w:lvl>
    <w:lvl w:ilvl="5">
      <w:start w:val="1"/>
      <w:numFmt w:val="decimal"/>
      <w:pStyle w:val="Heading6"/>
      <w:lvlText w:val="%2.%3.%4.%5.%6."/>
      <w:lvlJc w:val="right"/>
      <w:pPr>
        <w:ind w:left="8460" w:hanging="180"/>
      </w:pPr>
      <w:rPr>
        <w:rFonts w:ascii="Tahoma" w:hAnsi="Tahoma" w:hint="default"/>
        <w:b/>
        <w:i w:val="0"/>
      </w:rPr>
    </w:lvl>
    <w:lvl w:ilvl="6">
      <w:start w:val="1"/>
      <w:numFmt w:val="decimal"/>
      <w:lvlText w:val="%7."/>
      <w:lvlJc w:val="left"/>
      <w:pPr>
        <w:ind w:left="9180" w:hanging="360"/>
      </w:pPr>
      <w:rPr>
        <w:rFonts w:hint="default"/>
      </w:rPr>
    </w:lvl>
    <w:lvl w:ilvl="7">
      <w:start w:val="1"/>
      <w:numFmt w:val="lowerLetter"/>
      <w:lvlText w:val="%8."/>
      <w:lvlJc w:val="left"/>
      <w:pPr>
        <w:ind w:left="9900" w:hanging="360"/>
      </w:pPr>
      <w:rPr>
        <w:rFonts w:hint="default"/>
      </w:rPr>
    </w:lvl>
    <w:lvl w:ilvl="8">
      <w:start w:val="1"/>
      <w:numFmt w:val="lowerRoman"/>
      <w:lvlText w:val="%9."/>
      <w:lvlJc w:val="right"/>
      <w:pPr>
        <w:ind w:left="10620" w:hanging="180"/>
      </w:pPr>
      <w:rPr>
        <w:rFonts w:hint="default"/>
      </w:rPr>
    </w:lvl>
  </w:abstractNum>
  <w:num w:numId="1">
    <w:abstractNumId w:val="4"/>
  </w:num>
  <w:num w:numId="2">
    <w:abstractNumId w:val="3"/>
  </w:num>
  <w:num w:numId="3">
    <w:abstractNumId w:val="2"/>
  </w:num>
  <w:num w:numId="4">
    <w:abstractNumId w:val="0"/>
  </w:num>
  <w:num w:numId="5">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evenAndOddHeaders/>
  <w:drawingGridHorizontalSpacing w:val="110"/>
  <w:displayHorizontalDrawingGridEvery w:val="2"/>
  <w:characterSpacingControl w:val="doNotCompress"/>
  <w:hdrShapeDefaults>
    <o:shapedefaults v:ext="edit" spidmax="152578"/>
  </w:hdrShapeDefaults>
  <w:footnotePr>
    <w:footnote w:id="-1"/>
    <w:footnote w:id="0"/>
  </w:footnotePr>
  <w:endnotePr>
    <w:endnote w:id="-1"/>
    <w:endnote w:id="0"/>
  </w:endnotePr>
  <w:compat/>
  <w:rsids>
    <w:rsidRoot w:val="001D7747"/>
    <w:rsid w:val="00000526"/>
    <w:rsid w:val="0000059E"/>
    <w:rsid w:val="00002302"/>
    <w:rsid w:val="00004462"/>
    <w:rsid w:val="000046F7"/>
    <w:rsid w:val="00006CB7"/>
    <w:rsid w:val="00007266"/>
    <w:rsid w:val="000073AD"/>
    <w:rsid w:val="00007FAD"/>
    <w:rsid w:val="00011221"/>
    <w:rsid w:val="0001134F"/>
    <w:rsid w:val="00011559"/>
    <w:rsid w:val="000117C8"/>
    <w:rsid w:val="00013F6D"/>
    <w:rsid w:val="00014DF8"/>
    <w:rsid w:val="00014F56"/>
    <w:rsid w:val="00016415"/>
    <w:rsid w:val="000178F8"/>
    <w:rsid w:val="000206EE"/>
    <w:rsid w:val="0002093A"/>
    <w:rsid w:val="000214EB"/>
    <w:rsid w:val="000215C3"/>
    <w:rsid w:val="00022AC7"/>
    <w:rsid w:val="00024636"/>
    <w:rsid w:val="00025CAD"/>
    <w:rsid w:val="00025D0B"/>
    <w:rsid w:val="000312C5"/>
    <w:rsid w:val="000322E6"/>
    <w:rsid w:val="000324A2"/>
    <w:rsid w:val="0003384E"/>
    <w:rsid w:val="0003458F"/>
    <w:rsid w:val="00040D2C"/>
    <w:rsid w:val="00041242"/>
    <w:rsid w:val="00042484"/>
    <w:rsid w:val="000450FF"/>
    <w:rsid w:val="00047001"/>
    <w:rsid w:val="00052AF6"/>
    <w:rsid w:val="0005626C"/>
    <w:rsid w:val="0006163C"/>
    <w:rsid w:val="00062196"/>
    <w:rsid w:val="000625D2"/>
    <w:rsid w:val="00064133"/>
    <w:rsid w:val="00065457"/>
    <w:rsid w:val="000659C4"/>
    <w:rsid w:val="00066213"/>
    <w:rsid w:val="000663DC"/>
    <w:rsid w:val="000668F4"/>
    <w:rsid w:val="000675CC"/>
    <w:rsid w:val="00070CB9"/>
    <w:rsid w:val="000719E5"/>
    <w:rsid w:val="00071DFC"/>
    <w:rsid w:val="000732A8"/>
    <w:rsid w:val="00075207"/>
    <w:rsid w:val="00077DA1"/>
    <w:rsid w:val="0008057C"/>
    <w:rsid w:val="00081EDE"/>
    <w:rsid w:val="000839F6"/>
    <w:rsid w:val="000855F4"/>
    <w:rsid w:val="00093D1E"/>
    <w:rsid w:val="00095966"/>
    <w:rsid w:val="000A02E6"/>
    <w:rsid w:val="000A525F"/>
    <w:rsid w:val="000A5B8C"/>
    <w:rsid w:val="000A5DC8"/>
    <w:rsid w:val="000A632F"/>
    <w:rsid w:val="000A6AB9"/>
    <w:rsid w:val="000B1546"/>
    <w:rsid w:val="000B1BE6"/>
    <w:rsid w:val="000B1D40"/>
    <w:rsid w:val="000B1EFA"/>
    <w:rsid w:val="000B299F"/>
    <w:rsid w:val="000B371F"/>
    <w:rsid w:val="000B3ED7"/>
    <w:rsid w:val="000B4805"/>
    <w:rsid w:val="000B50A5"/>
    <w:rsid w:val="000B51F9"/>
    <w:rsid w:val="000B5971"/>
    <w:rsid w:val="000C10D8"/>
    <w:rsid w:val="000C400C"/>
    <w:rsid w:val="000C4470"/>
    <w:rsid w:val="000C6B42"/>
    <w:rsid w:val="000C7054"/>
    <w:rsid w:val="000C7570"/>
    <w:rsid w:val="000C7F2E"/>
    <w:rsid w:val="000D01F6"/>
    <w:rsid w:val="000D0AAB"/>
    <w:rsid w:val="000D232A"/>
    <w:rsid w:val="000D322C"/>
    <w:rsid w:val="000E4F35"/>
    <w:rsid w:val="000E5912"/>
    <w:rsid w:val="000E6736"/>
    <w:rsid w:val="000F0A03"/>
    <w:rsid w:val="000F0A1E"/>
    <w:rsid w:val="000F242E"/>
    <w:rsid w:val="000F3962"/>
    <w:rsid w:val="000F514B"/>
    <w:rsid w:val="000F6163"/>
    <w:rsid w:val="001018B9"/>
    <w:rsid w:val="0010427F"/>
    <w:rsid w:val="00105BD5"/>
    <w:rsid w:val="00106789"/>
    <w:rsid w:val="001107EC"/>
    <w:rsid w:val="00110A92"/>
    <w:rsid w:val="0011492C"/>
    <w:rsid w:val="001150F4"/>
    <w:rsid w:val="00116403"/>
    <w:rsid w:val="00120480"/>
    <w:rsid w:val="001221BA"/>
    <w:rsid w:val="00127F03"/>
    <w:rsid w:val="00130CD5"/>
    <w:rsid w:val="001316B9"/>
    <w:rsid w:val="00131F10"/>
    <w:rsid w:val="00133306"/>
    <w:rsid w:val="0013424F"/>
    <w:rsid w:val="00142892"/>
    <w:rsid w:val="00146F94"/>
    <w:rsid w:val="001478CD"/>
    <w:rsid w:val="00147987"/>
    <w:rsid w:val="00147A64"/>
    <w:rsid w:val="00153BA8"/>
    <w:rsid w:val="00155A66"/>
    <w:rsid w:val="00155D70"/>
    <w:rsid w:val="00156285"/>
    <w:rsid w:val="0015693E"/>
    <w:rsid w:val="00157BC5"/>
    <w:rsid w:val="001633EA"/>
    <w:rsid w:val="00167878"/>
    <w:rsid w:val="00167B6A"/>
    <w:rsid w:val="00167E1C"/>
    <w:rsid w:val="00171489"/>
    <w:rsid w:val="0017211A"/>
    <w:rsid w:val="00172407"/>
    <w:rsid w:val="0018013E"/>
    <w:rsid w:val="00180938"/>
    <w:rsid w:val="00185899"/>
    <w:rsid w:val="001870F7"/>
    <w:rsid w:val="00187317"/>
    <w:rsid w:val="001941CC"/>
    <w:rsid w:val="001941FC"/>
    <w:rsid w:val="00194668"/>
    <w:rsid w:val="001A0F07"/>
    <w:rsid w:val="001A0F7E"/>
    <w:rsid w:val="001A34F6"/>
    <w:rsid w:val="001A4A23"/>
    <w:rsid w:val="001A5367"/>
    <w:rsid w:val="001A63CC"/>
    <w:rsid w:val="001B036E"/>
    <w:rsid w:val="001B22C8"/>
    <w:rsid w:val="001B5223"/>
    <w:rsid w:val="001B7033"/>
    <w:rsid w:val="001B73A1"/>
    <w:rsid w:val="001C0FED"/>
    <w:rsid w:val="001C1AAA"/>
    <w:rsid w:val="001C2257"/>
    <w:rsid w:val="001C304E"/>
    <w:rsid w:val="001C3AB9"/>
    <w:rsid w:val="001C4365"/>
    <w:rsid w:val="001C4A7E"/>
    <w:rsid w:val="001C4B93"/>
    <w:rsid w:val="001C5794"/>
    <w:rsid w:val="001C6E5D"/>
    <w:rsid w:val="001D42DF"/>
    <w:rsid w:val="001D4C72"/>
    <w:rsid w:val="001D5B09"/>
    <w:rsid w:val="001D7747"/>
    <w:rsid w:val="001E0615"/>
    <w:rsid w:val="001E0D56"/>
    <w:rsid w:val="001E3F67"/>
    <w:rsid w:val="001E4660"/>
    <w:rsid w:val="001E6F05"/>
    <w:rsid w:val="001E7636"/>
    <w:rsid w:val="001F07D9"/>
    <w:rsid w:val="001F183E"/>
    <w:rsid w:val="001F21C4"/>
    <w:rsid w:val="001F2784"/>
    <w:rsid w:val="001F2A92"/>
    <w:rsid w:val="001F3AED"/>
    <w:rsid w:val="00204291"/>
    <w:rsid w:val="0020483C"/>
    <w:rsid w:val="00204C5A"/>
    <w:rsid w:val="00205EE8"/>
    <w:rsid w:val="00206FAD"/>
    <w:rsid w:val="00212484"/>
    <w:rsid w:val="00212B9C"/>
    <w:rsid w:val="00212CBB"/>
    <w:rsid w:val="0021411C"/>
    <w:rsid w:val="00214209"/>
    <w:rsid w:val="002151B4"/>
    <w:rsid w:val="0021562F"/>
    <w:rsid w:val="002160C1"/>
    <w:rsid w:val="00216173"/>
    <w:rsid w:val="00216BE9"/>
    <w:rsid w:val="002203D6"/>
    <w:rsid w:val="00220CDA"/>
    <w:rsid w:val="00223764"/>
    <w:rsid w:val="00224EB6"/>
    <w:rsid w:val="00241310"/>
    <w:rsid w:val="00242AC8"/>
    <w:rsid w:val="00245663"/>
    <w:rsid w:val="00245948"/>
    <w:rsid w:val="002465A2"/>
    <w:rsid w:val="00255373"/>
    <w:rsid w:val="0025790D"/>
    <w:rsid w:val="002608EA"/>
    <w:rsid w:val="00260DBE"/>
    <w:rsid w:val="002617F0"/>
    <w:rsid w:val="0026339C"/>
    <w:rsid w:val="00263A05"/>
    <w:rsid w:val="002643A3"/>
    <w:rsid w:val="00265A25"/>
    <w:rsid w:val="00267023"/>
    <w:rsid w:val="002706D7"/>
    <w:rsid w:val="00270A31"/>
    <w:rsid w:val="00271A20"/>
    <w:rsid w:val="00272EDF"/>
    <w:rsid w:val="00274E2C"/>
    <w:rsid w:val="00275EC9"/>
    <w:rsid w:val="002763AF"/>
    <w:rsid w:val="00276E50"/>
    <w:rsid w:val="00277447"/>
    <w:rsid w:val="0027758B"/>
    <w:rsid w:val="00277E87"/>
    <w:rsid w:val="00280DAE"/>
    <w:rsid w:val="00282BE4"/>
    <w:rsid w:val="00283564"/>
    <w:rsid w:val="00284B00"/>
    <w:rsid w:val="00286416"/>
    <w:rsid w:val="002922EA"/>
    <w:rsid w:val="002939CA"/>
    <w:rsid w:val="00296BC6"/>
    <w:rsid w:val="002A1EB3"/>
    <w:rsid w:val="002A4260"/>
    <w:rsid w:val="002A6DF1"/>
    <w:rsid w:val="002B01BE"/>
    <w:rsid w:val="002B04A9"/>
    <w:rsid w:val="002B07F3"/>
    <w:rsid w:val="002B46E4"/>
    <w:rsid w:val="002B4A46"/>
    <w:rsid w:val="002B7FF8"/>
    <w:rsid w:val="002C235D"/>
    <w:rsid w:val="002D0795"/>
    <w:rsid w:val="002D1170"/>
    <w:rsid w:val="002D3BC6"/>
    <w:rsid w:val="002D3EB6"/>
    <w:rsid w:val="002D51D9"/>
    <w:rsid w:val="002D5907"/>
    <w:rsid w:val="002D5A20"/>
    <w:rsid w:val="002D6110"/>
    <w:rsid w:val="002D7E1A"/>
    <w:rsid w:val="002E3C12"/>
    <w:rsid w:val="002E3C20"/>
    <w:rsid w:val="002E5CE3"/>
    <w:rsid w:val="002E6DDE"/>
    <w:rsid w:val="002E6E2F"/>
    <w:rsid w:val="002E78E8"/>
    <w:rsid w:val="002F1152"/>
    <w:rsid w:val="002F3736"/>
    <w:rsid w:val="002F38B6"/>
    <w:rsid w:val="002F3D88"/>
    <w:rsid w:val="002F4481"/>
    <w:rsid w:val="002F4A76"/>
    <w:rsid w:val="002F53F1"/>
    <w:rsid w:val="002F56CC"/>
    <w:rsid w:val="002F7E25"/>
    <w:rsid w:val="003015D0"/>
    <w:rsid w:val="00301905"/>
    <w:rsid w:val="00303B89"/>
    <w:rsid w:val="00303CF1"/>
    <w:rsid w:val="00304255"/>
    <w:rsid w:val="0030485C"/>
    <w:rsid w:val="00307D4E"/>
    <w:rsid w:val="00310511"/>
    <w:rsid w:val="00311F38"/>
    <w:rsid w:val="00311FCE"/>
    <w:rsid w:val="00312E09"/>
    <w:rsid w:val="00314856"/>
    <w:rsid w:val="00316AB9"/>
    <w:rsid w:val="0032421F"/>
    <w:rsid w:val="003245EA"/>
    <w:rsid w:val="0032493D"/>
    <w:rsid w:val="003257F9"/>
    <w:rsid w:val="003259F8"/>
    <w:rsid w:val="0032614F"/>
    <w:rsid w:val="0033023A"/>
    <w:rsid w:val="00330EA5"/>
    <w:rsid w:val="0033475D"/>
    <w:rsid w:val="00334E0F"/>
    <w:rsid w:val="00335546"/>
    <w:rsid w:val="0033588B"/>
    <w:rsid w:val="00335A9A"/>
    <w:rsid w:val="003365D1"/>
    <w:rsid w:val="00337AAF"/>
    <w:rsid w:val="00340E27"/>
    <w:rsid w:val="0034111B"/>
    <w:rsid w:val="003412EE"/>
    <w:rsid w:val="00341760"/>
    <w:rsid w:val="00343580"/>
    <w:rsid w:val="003456CE"/>
    <w:rsid w:val="00350CE7"/>
    <w:rsid w:val="00351055"/>
    <w:rsid w:val="00352713"/>
    <w:rsid w:val="00355759"/>
    <w:rsid w:val="0035655C"/>
    <w:rsid w:val="00357855"/>
    <w:rsid w:val="00357AF1"/>
    <w:rsid w:val="00360EA0"/>
    <w:rsid w:val="00361F30"/>
    <w:rsid w:val="00362600"/>
    <w:rsid w:val="00362623"/>
    <w:rsid w:val="00362839"/>
    <w:rsid w:val="00363AD8"/>
    <w:rsid w:val="003668B3"/>
    <w:rsid w:val="0037075B"/>
    <w:rsid w:val="00370B14"/>
    <w:rsid w:val="00371619"/>
    <w:rsid w:val="00380F5C"/>
    <w:rsid w:val="003812B1"/>
    <w:rsid w:val="00381EAB"/>
    <w:rsid w:val="003823D0"/>
    <w:rsid w:val="003841D8"/>
    <w:rsid w:val="00384406"/>
    <w:rsid w:val="00384C39"/>
    <w:rsid w:val="003850D1"/>
    <w:rsid w:val="003851B6"/>
    <w:rsid w:val="003863B5"/>
    <w:rsid w:val="00386D20"/>
    <w:rsid w:val="003871F7"/>
    <w:rsid w:val="00387D17"/>
    <w:rsid w:val="00390100"/>
    <w:rsid w:val="00391462"/>
    <w:rsid w:val="00394F29"/>
    <w:rsid w:val="0039517B"/>
    <w:rsid w:val="003968A5"/>
    <w:rsid w:val="003972C4"/>
    <w:rsid w:val="003978DD"/>
    <w:rsid w:val="003A1A3E"/>
    <w:rsid w:val="003A3B3E"/>
    <w:rsid w:val="003A3C1D"/>
    <w:rsid w:val="003A3F5E"/>
    <w:rsid w:val="003A6046"/>
    <w:rsid w:val="003A7E2F"/>
    <w:rsid w:val="003B03F2"/>
    <w:rsid w:val="003B0717"/>
    <w:rsid w:val="003B0FA8"/>
    <w:rsid w:val="003B1F5D"/>
    <w:rsid w:val="003B2315"/>
    <w:rsid w:val="003B2DE1"/>
    <w:rsid w:val="003B45CB"/>
    <w:rsid w:val="003B490A"/>
    <w:rsid w:val="003C119F"/>
    <w:rsid w:val="003C4D82"/>
    <w:rsid w:val="003C604D"/>
    <w:rsid w:val="003C6F72"/>
    <w:rsid w:val="003D5914"/>
    <w:rsid w:val="003D739B"/>
    <w:rsid w:val="003E03E5"/>
    <w:rsid w:val="003E1B13"/>
    <w:rsid w:val="003E25D9"/>
    <w:rsid w:val="003E2FEC"/>
    <w:rsid w:val="003E4B6E"/>
    <w:rsid w:val="003E522D"/>
    <w:rsid w:val="003E6F50"/>
    <w:rsid w:val="003F1760"/>
    <w:rsid w:val="003F1BB4"/>
    <w:rsid w:val="003F1EF0"/>
    <w:rsid w:val="003F26DF"/>
    <w:rsid w:val="003F336F"/>
    <w:rsid w:val="003F36DF"/>
    <w:rsid w:val="003F3D24"/>
    <w:rsid w:val="003F7BD2"/>
    <w:rsid w:val="00400E53"/>
    <w:rsid w:val="00401EE4"/>
    <w:rsid w:val="00403ACD"/>
    <w:rsid w:val="0040496D"/>
    <w:rsid w:val="00404B2D"/>
    <w:rsid w:val="004051E6"/>
    <w:rsid w:val="00406909"/>
    <w:rsid w:val="00407412"/>
    <w:rsid w:val="00410639"/>
    <w:rsid w:val="00416DDA"/>
    <w:rsid w:val="00422CAE"/>
    <w:rsid w:val="00423E0E"/>
    <w:rsid w:val="00424EFB"/>
    <w:rsid w:val="004251EA"/>
    <w:rsid w:val="004252CB"/>
    <w:rsid w:val="00427F8F"/>
    <w:rsid w:val="00430375"/>
    <w:rsid w:val="00432C26"/>
    <w:rsid w:val="00433BFC"/>
    <w:rsid w:val="00434BC5"/>
    <w:rsid w:val="0043537E"/>
    <w:rsid w:val="004353A6"/>
    <w:rsid w:val="0043584E"/>
    <w:rsid w:val="0043643C"/>
    <w:rsid w:val="00436F0F"/>
    <w:rsid w:val="00440C68"/>
    <w:rsid w:val="00440FC3"/>
    <w:rsid w:val="004423FF"/>
    <w:rsid w:val="004443BD"/>
    <w:rsid w:val="00447A65"/>
    <w:rsid w:val="004506E7"/>
    <w:rsid w:val="00451E43"/>
    <w:rsid w:val="00452570"/>
    <w:rsid w:val="00454203"/>
    <w:rsid w:val="00454A15"/>
    <w:rsid w:val="004562C7"/>
    <w:rsid w:val="00456BE3"/>
    <w:rsid w:val="00461783"/>
    <w:rsid w:val="004628AA"/>
    <w:rsid w:val="00463130"/>
    <w:rsid w:val="00464DCB"/>
    <w:rsid w:val="00464F5D"/>
    <w:rsid w:val="0046500E"/>
    <w:rsid w:val="004656C0"/>
    <w:rsid w:val="00466760"/>
    <w:rsid w:val="00467352"/>
    <w:rsid w:val="00467BC4"/>
    <w:rsid w:val="00471578"/>
    <w:rsid w:val="00472988"/>
    <w:rsid w:val="00474B48"/>
    <w:rsid w:val="00475794"/>
    <w:rsid w:val="004779C2"/>
    <w:rsid w:val="004779C9"/>
    <w:rsid w:val="00477B77"/>
    <w:rsid w:val="00480F0E"/>
    <w:rsid w:val="004812D5"/>
    <w:rsid w:val="00484247"/>
    <w:rsid w:val="00484D09"/>
    <w:rsid w:val="00485CA7"/>
    <w:rsid w:val="00485F2D"/>
    <w:rsid w:val="00487A27"/>
    <w:rsid w:val="004945F8"/>
    <w:rsid w:val="00495709"/>
    <w:rsid w:val="00496023"/>
    <w:rsid w:val="004A0142"/>
    <w:rsid w:val="004A05DE"/>
    <w:rsid w:val="004A08F6"/>
    <w:rsid w:val="004A2639"/>
    <w:rsid w:val="004A4A1E"/>
    <w:rsid w:val="004A605A"/>
    <w:rsid w:val="004A698F"/>
    <w:rsid w:val="004B16BE"/>
    <w:rsid w:val="004B1D2D"/>
    <w:rsid w:val="004B3559"/>
    <w:rsid w:val="004C1569"/>
    <w:rsid w:val="004C3C2D"/>
    <w:rsid w:val="004C4E76"/>
    <w:rsid w:val="004D0B09"/>
    <w:rsid w:val="004D0F93"/>
    <w:rsid w:val="004D1224"/>
    <w:rsid w:val="004D5884"/>
    <w:rsid w:val="004D58CE"/>
    <w:rsid w:val="004D6350"/>
    <w:rsid w:val="004D669C"/>
    <w:rsid w:val="004D7EE7"/>
    <w:rsid w:val="004E09BE"/>
    <w:rsid w:val="004E2B61"/>
    <w:rsid w:val="004E2EEE"/>
    <w:rsid w:val="004E4E21"/>
    <w:rsid w:val="004E4F98"/>
    <w:rsid w:val="004E557D"/>
    <w:rsid w:val="004E71C1"/>
    <w:rsid w:val="004F18B5"/>
    <w:rsid w:val="004F342C"/>
    <w:rsid w:val="004F385B"/>
    <w:rsid w:val="004F4424"/>
    <w:rsid w:val="004F4C55"/>
    <w:rsid w:val="00503900"/>
    <w:rsid w:val="005044D8"/>
    <w:rsid w:val="00505CC0"/>
    <w:rsid w:val="00505E6B"/>
    <w:rsid w:val="005067FF"/>
    <w:rsid w:val="00506D13"/>
    <w:rsid w:val="00507FF4"/>
    <w:rsid w:val="005121AA"/>
    <w:rsid w:val="00516629"/>
    <w:rsid w:val="00521818"/>
    <w:rsid w:val="00524BB7"/>
    <w:rsid w:val="0052713D"/>
    <w:rsid w:val="00532CEA"/>
    <w:rsid w:val="00534BEE"/>
    <w:rsid w:val="00534E20"/>
    <w:rsid w:val="00537D2B"/>
    <w:rsid w:val="00542387"/>
    <w:rsid w:val="0054271A"/>
    <w:rsid w:val="0054422F"/>
    <w:rsid w:val="005448C3"/>
    <w:rsid w:val="00547194"/>
    <w:rsid w:val="005475C4"/>
    <w:rsid w:val="005523EB"/>
    <w:rsid w:val="00552D2A"/>
    <w:rsid w:val="005533BB"/>
    <w:rsid w:val="00557A8C"/>
    <w:rsid w:val="0056138A"/>
    <w:rsid w:val="00562E25"/>
    <w:rsid w:val="005638E6"/>
    <w:rsid w:val="00564AE0"/>
    <w:rsid w:val="00564C7F"/>
    <w:rsid w:val="005653CF"/>
    <w:rsid w:val="0056698F"/>
    <w:rsid w:val="00570E61"/>
    <w:rsid w:val="00571DE6"/>
    <w:rsid w:val="00574805"/>
    <w:rsid w:val="0057621E"/>
    <w:rsid w:val="005808E4"/>
    <w:rsid w:val="005811B3"/>
    <w:rsid w:val="00581F5D"/>
    <w:rsid w:val="005828B2"/>
    <w:rsid w:val="00584D8E"/>
    <w:rsid w:val="0058683F"/>
    <w:rsid w:val="00595026"/>
    <w:rsid w:val="005A0A53"/>
    <w:rsid w:val="005A2A48"/>
    <w:rsid w:val="005A3964"/>
    <w:rsid w:val="005A550B"/>
    <w:rsid w:val="005B2080"/>
    <w:rsid w:val="005B34ED"/>
    <w:rsid w:val="005B3972"/>
    <w:rsid w:val="005B4DB9"/>
    <w:rsid w:val="005B5EB7"/>
    <w:rsid w:val="005B6D1F"/>
    <w:rsid w:val="005C03C4"/>
    <w:rsid w:val="005C0C7A"/>
    <w:rsid w:val="005C124C"/>
    <w:rsid w:val="005C1FD3"/>
    <w:rsid w:val="005C207C"/>
    <w:rsid w:val="005C3D80"/>
    <w:rsid w:val="005C3EAE"/>
    <w:rsid w:val="005C5573"/>
    <w:rsid w:val="005D0EFA"/>
    <w:rsid w:val="005D11E4"/>
    <w:rsid w:val="005D1D4B"/>
    <w:rsid w:val="005D7A64"/>
    <w:rsid w:val="005E1FD1"/>
    <w:rsid w:val="005E2C11"/>
    <w:rsid w:val="005F0F6A"/>
    <w:rsid w:val="005F150C"/>
    <w:rsid w:val="005F1994"/>
    <w:rsid w:val="005F1999"/>
    <w:rsid w:val="005F22D6"/>
    <w:rsid w:val="005F3530"/>
    <w:rsid w:val="005F5033"/>
    <w:rsid w:val="005F6B17"/>
    <w:rsid w:val="00601DC4"/>
    <w:rsid w:val="00601F46"/>
    <w:rsid w:val="0060297E"/>
    <w:rsid w:val="0060711D"/>
    <w:rsid w:val="006123E8"/>
    <w:rsid w:val="006159E1"/>
    <w:rsid w:val="0061712B"/>
    <w:rsid w:val="0061760F"/>
    <w:rsid w:val="00620347"/>
    <w:rsid w:val="0062148B"/>
    <w:rsid w:val="00623D96"/>
    <w:rsid w:val="00624472"/>
    <w:rsid w:val="00627600"/>
    <w:rsid w:val="00634697"/>
    <w:rsid w:val="00634B06"/>
    <w:rsid w:val="006351AB"/>
    <w:rsid w:val="006374ED"/>
    <w:rsid w:val="00640266"/>
    <w:rsid w:val="006411A9"/>
    <w:rsid w:val="0064235F"/>
    <w:rsid w:val="006501B6"/>
    <w:rsid w:val="0065362D"/>
    <w:rsid w:val="00661FB9"/>
    <w:rsid w:val="00663ADB"/>
    <w:rsid w:val="0066634B"/>
    <w:rsid w:val="00666416"/>
    <w:rsid w:val="006673BA"/>
    <w:rsid w:val="0067040B"/>
    <w:rsid w:val="006712A9"/>
    <w:rsid w:val="00671DFD"/>
    <w:rsid w:val="006728CB"/>
    <w:rsid w:val="00675292"/>
    <w:rsid w:val="006765EC"/>
    <w:rsid w:val="00684A50"/>
    <w:rsid w:val="00686D16"/>
    <w:rsid w:val="0069066F"/>
    <w:rsid w:val="00691DAE"/>
    <w:rsid w:val="00693157"/>
    <w:rsid w:val="00695A19"/>
    <w:rsid w:val="00697307"/>
    <w:rsid w:val="006A00C6"/>
    <w:rsid w:val="006A0532"/>
    <w:rsid w:val="006A0D0F"/>
    <w:rsid w:val="006A1E6B"/>
    <w:rsid w:val="006A2257"/>
    <w:rsid w:val="006A235B"/>
    <w:rsid w:val="006A41B4"/>
    <w:rsid w:val="006A73A0"/>
    <w:rsid w:val="006B1983"/>
    <w:rsid w:val="006B204A"/>
    <w:rsid w:val="006B54B5"/>
    <w:rsid w:val="006B62BD"/>
    <w:rsid w:val="006B672B"/>
    <w:rsid w:val="006C00CA"/>
    <w:rsid w:val="006C1594"/>
    <w:rsid w:val="006C4116"/>
    <w:rsid w:val="006C5D93"/>
    <w:rsid w:val="006C75A3"/>
    <w:rsid w:val="006D0A77"/>
    <w:rsid w:val="006D2FFE"/>
    <w:rsid w:val="006D5140"/>
    <w:rsid w:val="006D53A7"/>
    <w:rsid w:val="006D55E7"/>
    <w:rsid w:val="006D56F7"/>
    <w:rsid w:val="006D62F0"/>
    <w:rsid w:val="006D6DFA"/>
    <w:rsid w:val="006D7435"/>
    <w:rsid w:val="006E0334"/>
    <w:rsid w:val="006E1A8C"/>
    <w:rsid w:val="006E3AA8"/>
    <w:rsid w:val="006E3D21"/>
    <w:rsid w:val="006E476D"/>
    <w:rsid w:val="006E6B65"/>
    <w:rsid w:val="006E7898"/>
    <w:rsid w:val="006F3265"/>
    <w:rsid w:val="006F63B5"/>
    <w:rsid w:val="006F6B96"/>
    <w:rsid w:val="006F7D98"/>
    <w:rsid w:val="006F7EEF"/>
    <w:rsid w:val="00700109"/>
    <w:rsid w:val="00701F5A"/>
    <w:rsid w:val="0070490D"/>
    <w:rsid w:val="00705170"/>
    <w:rsid w:val="00706851"/>
    <w:rsid w:val="007068D7"/>
    <w:rsid w:val="007100D8"/>
    <w:rsid w:val="0071103D"/>
    <w:rsid w:val="00713C2C"/>
    <w:rsid w:val="00715816"/>
    <w:rsid w:val="00716AD4"/>
    <w:rsid w:val="00716FC7"/>
    <w:rsid w:val="0071750F"/>
    <w:rsid w:val="00721B66"/>
    <w:rsid w:val="007220F4"/>
    <w:rsid w:val="007224F5"/>
    <w:rsid w:val="00730445"/>
    <w:rsid w:val="00731BCA"/>
    <w:rsid w:val="0073230E"/>
    <w:rsid w:val="00733283"/>
    <w:rsid w:val="007346A2"/>
    <w:rsid w:val="00734E16"/>
    <w:rsid w:val="00736BE8"/>
    <w:rsid w:val="00737C18"/>
    <w:rsid w:val="007410E9"/>
    <w:rsid w:val="0074178C"/>
    <w:rsid w:val="00742A97"/>
    <w:rsid w:val="007443D1"/>
    <w:rsid w:val="00745A38"/>
    <w:rsid w:val="00746AE0"/>
    <w:rsid w:val="00750705"/>
    <w:rsid w:val="007512D0"/>
    <w:rsid w:val="00751812"/>
    <w:rsid w:val="007534E1"/>
    <w:rsid w:val="00754A11"/>
    <w:rsid w:val="00754F7A"/>
    <w:rsid w:val="0075614F"/>
    <w:rsid w:val="007562D9"/>
    <w:rsid w:val="00757834"/>
    <w:rsid w:val="00757F8F"/>
    <w:rsid w:val="00762D89"/>
    <w:rsid w:val="007648A7"/>
    <w:rsid w:val="00765532"/>
    <w:rsid w:val="00772EDD"/>
    <w:rsid w:val="00774BA0"/>
    <w:rsid w:val="00781217"/>
    <w:rsid w:val="007816CA"/>
    <w:rsid w:val="007819C5"/>
    <w:rsid w:val="00782D83"/>
    <w:rsid w:val="00782DF0"/>
    <w:rsid w:val="00786187"/>
    <w:rsid w:val="007877FE"/>
    <w:rsid w:val="00792F58"/>
    <w:rsid w:val="0079344A"/>
    <w:rsid w:val="007942F4"/>
    <w:rsid w:val="007945E0"/>
    <w:rsid w:val="00796DFC"/>
    <w:rsid w:val="007971ED"/>
    <w:rsid w:val="007A1E6B"/>
    <w:rsid w:val="007A29A1"/>
    <w:rsid w:val="007A3378"/>
    <w:rsid w:val="007A52FB"/>
    <w:rsid w:val="007A5A73"/>
    <w:rsid w:val="007A60A1"/>
    <w:rsid w:val="007A6332"/>
    <w:rsid w:val="007A7A21"/>
    <w:rsid w:val="007B2BB1"/>
    <w:rsid w:val="007B3517"/>
    <w:rsid w:val="007B5EC2"/>
    <w:rsid w:val="007C3727"/>
    <w:rsid w:val="007C421A"/>
    <w:rsid w:val="007C6D40"/>
    <w:rsid w:val="007C713A"/>
    <w:rsid w:val="007D0AD3"/>
    <w:rsid w:val="007D1BDA"/>
    <w:rsid w:val="007D2BD1"/>
    <w:rsid w:val="007D33DF"/>
    <w:rsid w:val="007D3966"/>
    <w:rsid w:val="007D5A0D"/>
    <w:rsid w:val="007E404A"/>
    <w:rsid w:val="007F03AE"/>
    <w:rsid w:val="007F065F"/>
    <w:rsid w:val="0080254D"/>
    <w:rsid w:val="00802BF4"/>
    <w:rsid w:val="00804C4C"/>
    <w:rsid w:val="00807B1B"/>
    <w:rsid w:val="00810ADC"/>
    <w:rsid w:val="00810FA1"/>
    <w:rsid w:val="00811EF1"/>
    <w:rsid w:val="00814470"/>
    <w:rsid w:val="0081472A"/>
    <w:rsid w:val="00815313"/>
    <w:rsid w:val="0082102C"/>
    <w:rsid w:val="008211EF"/>
    <w:rsid w:val="00821C42"/>
    <w:rsid w:val="00821CBA"/>
    <w:rsid w:val="008223C9"/>
    <w:rsid w:val="00822D3B"/>
    <w:rsid w:val="00824012"/>
    <w:rsid w:val="00824819"/>
    <w:rsid w:val="00824A11"/>
    <w:rsid w:val="00826401"/>
    <w:rsid w:val="008265A1"/>
    <w:rsid w:val="00827167"/>
    <w:rsid w:val="00827753"/>
    <w:rsid w:val="00832119"/>
    <w:rsid w:val="0083265A"/>
    <w:rsid w:val="00834ECB"/>
    <w:rsid w:val="00834FFA"/>
    <w:rsid w:val="00836E8F"/>
    <w:rsid w:val="00837817"/>
    <w:rsid w:val="00841467"/>
    <w:rsid w:val="008425AC"/>
    <w:rsid w:val="0084307D"/>
    <w:rsid w:val="00844F09"/>
    <w:rsid w:val="008452B6"/>
    <w:rsid w:val="00845892"/>
    <w:rsid w:val="00846881"/>
    <w:rsid w:val="008473E7"/>
    <w:rsid w:val="00847621"/>
    <w:rsid w:val="008476D5"/>
    <w:rsid w:val="00851EC5"/>
    <w:rsid w:val="0085347F"/>
    <w:rsid w:val="00854D9B"/>
    <w:rsid w:val="00855190"/>
    <w:rsid w:val="008552EF"/>
    <w:rsid w:val="00862018"/>
    <w:rsid w:val="00866330"/>
    <w:rsid w:val="00867300"/>
    <w:rsid w:val="00872131"/>
    <w:rsid w:val="00876291"/>
    <w:rsid w:val="00882CED"/>
    <w:rsid w:val="00886081"/>
    <w:rsid w:val="00887D6E"/>
    <w:rsid w:val="00890B0C"/>
    <w:rsid w:val="00891225"/>
    <w:rsid w:val="00891240"/>
    <w:rsid w:val="00892D7F"/>
    <w:rsid w:val="0089528C"/>
    <w:rsid w:val="00897067"/>
    <w:rsid w:val="008A0D27"/>
    <w:rsid w:val="008A29CE"/>
    <w:rsid w:val="008A4823"/>
    <w:rsid w:val="008A5014"/>
    <w:rsid w:val="008A61FE"/>
    <w:rsid w:val="008B242D"/>
    <w:rsid w:val="008B43ED"/>
    <w:rsid w:val="008B4BCC"/>
    <w:rsid w:val="008B5081"/>
    <w:rsid w:val="008B6914"/>
    <w:rsid w:val="008C00D6"/>
    <w:rsid w:val="008C0AC3"/>
    <w:rsid w:val="008C3C2F"/>
    <w:rsid w:val="008C3EB8"/>
    <w:rsid w:val="008C4BEE"/>
    <w:rsid w:val="008D05FD"/>
    <w:rsid w:val="008D2459"/>
    <w:rsid w:val="008D2F13"/>
    <w:rsid w:val="008D400B"/>
    <w:rsid w:val="008D4537"/>
    <w:rsid w:val="008D4B62"/>
    <w:rsid w:val="008D6E47"/>
    <w:rsid w:val="008E2B38"/>
    <w:rsid w:val="008E3655"/>
    <w:rsid w:val="008E39B3"/>
    <w:rsid w:val="008E6A66"/>
    <w:rsid w:val="008E6D94"/>
    <w:rsid w:val="008E7AD2"/>
    <w:rsid w:val="008E7E5B"/>
    <w:rsid w:val="008F00C6"/>
    <w:rsid w:val="008F2A67"/>
    <w:rsid w:val="008F40E9"/>
    <w:rsid w:val="008F5AF4"/>
    <w:rsid w:val="008F6633"/>
    <w:rsid w:val="008F711E"/>
    <w:rsid w:val="00900B9F"/>
    <w:rsid w:val="00902D49"/>
    <w:rsid w:val="00903199"/>
    <w:rsid w:val="00904FB3"/>
    <w:rsid w:val="00906C81"/>
    <w:rsid w:val="00910988"/>
    <w:rsid w:val="00910C30"/>
    <w:rsid w:val="00911782"/>
    <w:rsid w:val="00911E8F"/>
    <w:rsid w:val="00912EE5"/>
    <w:rsid w:val="009145A4"/>
    <w:rsid w:val="00915E88"/>
    <w:rsid w:val="009179C1"/>
    <w:rsid w:val="00921AA3"/>
    <w:rsid w:val="00923254"/>
    <w:rsid w:val="00923896"/>
    <w:rsid w:val="00923AA1"/>
    <w:rsid w:val="0092553F"/>
    <w:rsid w:val="009265C0"/>
    <w:rsid w:val="00927397"/>
    <w:rsid w:val="00927893"/>
    <w:rsid w:val="00931216"/>
    <w:rsid w:val="00932DA6"/>
    <w:rsid w:val="00934E87"/>
    <w:rsid w:val="00934EED"/>
    <w:rsid w:val="009359E7"/>
    <w:rsid w:val="00935BA1"/>
    <w:rsid w:val="0093685A"/>
    <w:rsid w:val="009411F1"/>
    <w:rsid w:val="009411F3"/>
    <w:rsid w:val="009419F3"/>
    <w:rsid w:val="009461C6"/>
    <w:rsid w:val="00951BEE"/>
    <w:rsid w:val="00952BFB"/>
    <w:rsid w:val="00954E3E"/>
    <w:rsid w:val="009563A5"/>
    <w:rsid w:val="00956855"/>
    <w:rsid w:val="0097039F"/>
    <w:rsid w:val="00970CD7"/>
    <w:rsid w:val="00971333"/>
    <w:rsid w:val="00972245"/>
    <w:rsid w:val="0097331C"/>
    <w:rsid w:val="00973A14"/>
    <w:rsid w:val="00973B6C"/>
    <w:rsid w:val="00974865"/>
    <w:rsid w:val="00976BC1"/>
    <w:rsid w:val="009812F5"/>
    <w:rsid w:val="00981F45"/>
    <w:rsid w:val="00983F98"/>
    <w:rsid w:val="00985AC5"/>
    <w:rsid w:val="0098790E"/>
    <w:rsid w:val="00987C1A"/>
    <w:rsid w:val="00990048"/>
    <w:rsid w:val="00992B12"/>
    <w:rsid w:val="00993E85"/>
    <w:rsid w:val="009940DA"/>
    <w:rsid w:val="00994201"/>
    <w:rsid w:val="00994AE5"/>
    <w:rsid w:val="00994BD2"/>
    <w:rsid w:val="009970C0"/>
    <w:rsid w:val="0099778D"/>
    <w:rsid w:val="009A1A75"/>
    <w:rsid w:val="009A39EF"/>
    <w:rsid w:val="009A3D04"/>
    <w:rsid w:val="009A3E7D"/>
    <w:rsid w:val="009A51BF"/>
    <w:rsid w:val="009A7851"/>
    <w:rsid w:val="009B0290"/>
    <w:rsid w:val="009B2554"/>
    <w:rsid w:val="009B31AD"/>
    <w:rsid w:val="009B379B"/>
    <w:rsid w:val="009B56F2"/>
    <w:rsid w:val="009B6CCE"/>
    <w:rsid w:val="009B7B8F"/>
    <w:rsid w:val="009B7C48"/>
    <w:rsid w:val="009C045F"/>
    <w:rsid w:val="009C0528"/>
    <w:rsid w:val="009C0F0C"/>
    <w:rsid w:val="009C10E7"/>
    <w:rsid w:val="009C11EE"/>
    <w:rsid w:val="009C131C"/>
    <w:rsid w:val="009C6A82"/>
    <w:rsid w:val="009C741A"/>
    <w:rsid w:val="009C7BA3"/>
    <w:rsid w:val="009C7BCE"/>
    <w:rsid w:val="009D054A"/>
    <w:rsid w:val="009D17BA"/>
    <w:rsid w:val="009D7C8E"/>
    <w:rsid w:val="009E11CD"/>
    <w:rsid w:val="009E16F3"/>
    <w:rsid w:val="009E2735"/>
    <w:rsid w:val="009E479C"/>
    <w:rsid w:val="009E48B8"/>
    <w:rsid w:val="009E6C52"/>
    <w:rsid w:val="009E7099"/>
    <w:rsid w:val="009E77B1"/>
    <w:rsid w:val="009F0070"/>
    <w:rsid w:val="009F0B37"/>
    <w:rsid w:val="009F0FE5"/>
    <w:rsid w:val="009F2B05"/>
    <w:rsid w:val="009F40A4"/>
    <w:rsid w:val="009F54CD"/>
    <w:rsid w:val="009F6068"/>
    <w:rsid w:val="009F6E63"/>
    <w:rsid w:val="00A00385"/>
    <w:rsid w:val="00A004AB"/>
    <w:rsid w:val="00A00D34"/>
    <w:rsid w:val="00A023AE"/>
    <w:rsid w:val="00A037D4"/>
    <w:rsid w:val="00A05FAE"/>
    <w:rsid w:val="00A07848"/>
    <w:rsid w:val="00A119E2"/>
    <w:rsid w:val="00A12531"/>
    <w:rsid w:val="00A134EA"/>
    <w:rsid w:val="00A15A7D"/>
    <w:rsid w:val="00A161CB"/>
    <w:rsid w:val="00A226D9"/>
    <w:rsid w:val="00A22E4F"/>
    <w:rsid w:val="00A27449"/>
    <w:rsid w:val="00A32A8E"/>
    <w:rsid w:val="00A32DAB"/>
    <w:rsid w:val="00A34407"/>
    <w:rsid w:val="00A350F8"/>
    <w:rsid w:val="00A35985"/>
    <w:rsid w:val="00A36009"/>
    <w:rsid w:val="00A405F1"/>
    <w:rsid w:val="00A41FDB"/>
    <w:rsid w:val="00A45791"/>
    <w:rsid w:val="00A459FF"/>
    <w:rsid w:val="00A47CA3"/>
    <w:rsid w:val="00A55768"/>
    <w:rsid w:val="00A569C8"/>
    <w:rsid w:val="00A57417"/>
    <w:rsid w:val="00A610BA"/>
    <w:rsid w:val="00A62663"/>
    <w:rsid w:val="00A6337A"/>
    <w:rsid w:val="00A63B39"/>
    <w:rsid w:val="00A64C28"/>
    <w:rsid w:val="00A654C9"/>
    <w:rsid w:val="00A660D6"/>
    <w:rsid w:val="00A67BA8"/>
    <w:rsid w:val="00A71941"/>
    <w:rsid w:val="00A72927"/>
    <w:rsid w:val="00A75161"/>
    <w:rsid w:val="00A801A1"/>
    <w:rsid w:val="00A80458"/>
    <w:rsid w:val="00A81CA7"/>
    <w:rsid w:val="00A84278"/>
    <w:rsid w:val="00A843A9"/>
    <w:rsid w:val="00A8625A"/>
    <w:rsid w:val="00A8656B"/>
    <w:rsid w:val="00A9023E"/>
    <w:rsid w:val="00A90BA1"/>
    <w:rsid w:val="00A921B9"/>
    <w:rsid w:val="00A9223E"/>
    <w:rsid w:val="00A93DE2"/>
    <w:rsid w:val="00A940B9"/>
    <w:rsid w:val="00A94E96"/>
    <w:rsid w:val="00A94F9C"/>
    <w:rsid w:val="00A95CD3"/>
    <w:rsid w:val="00A96FB9"/>
    <w:rsid w:val="00AA08B2"/>
    <w:rsid w:val="00AA2619"/>
    <w:rsid w:val="00AA4CB9"/>
    <w:rsid w:val="00AA5689"/>
    <w:rsid w:val="00AA6BA2"/>
    <w:rsid w:val="00AB1CF7"/>
    <w:rsid w:val="00AB325A"/>
    <w:rsid w:val="00AB3949"/>
    <w:rsid w:val="00AC393B"/>
    <w:rsid w:val="00AC4347"/>
    <w:rsid w:val="00AC4DAF"/>
    <w:rsid w:val="00AC5219"/>
    <w:rsid w:val="00AC731B"/>
    <w:rsid w:val="00AD0516"/>
    <w:rsid w:val="00AD10EB"/>
    <w:rsid w:val="00AD1ABB"/>
    <w:rsid w:val="00AD22BE"/>
    <w:rsid w:val="00AD4055"/>
    <w:rsid w:val="00AD4526"/>
    <w:rsid w:val="00AD4D79"/>
    <w:rsid w:val="00AD5FF9"/>
    <w:rsid w:val="00AD60F0"/>
    <w:rsid w:val="00AD618F"/>
    <w:rsid w:val="00AD6630"/>
    <w:rsid w:val="00AE1BCD"/>
    <w:rsid w:val="00AE1D92"/>
    <w:rsid w:val="00AE50FC"/>
    <w:rsid w:val="00AE5B16"/>
    <w:rsid w:val="00AF0141"/>
    <w:rsid w:val="00AF06A2"/>
    <w:rsid w:val="00AF10DD"/>
    <w:rsid w:val="00AF1B62"/>
    <w:rsid w:val="00AF1BDD"/>
    <w:rsid w:val="00AF3316"/>
    <w:rsid w:val="00AF6684"/>
    <w:rsid w:val="00B0088D"/>
    <w:rsid w:val="00B07E7D"/>
    <w:rsid w:val="00B12314"/>
    <w:rsid w:val="00B12CBB"/>
    <w:rsid w:val="00B13B67"/>
    <w:rsid w:val="00B1431B"/>
    <w:rsid w:val="00B1499C"/>
    <w:rsid w:val="00B2042A"/>
    <w:rsid w:val="00B20A0B"/>
    <w:rsid w:val="00B210DD"/>
    <w:rsid w:val="00B23520"/>
    <w:rsid w:val="00B23592"/>
    <w:rsid w:val="00B2375B"/>
    <w:rsid w:val="00B2418F"/>
    <w:rsid w:val="00B2644A"/>
    <w:rsid w:val="00B26C7B"/>
    <w:rsid w:val="00B27E77"/>
    <w:rsid w:val="00B307AA"/>
    <w:rsid w:val="00B32E2A"/>
    <w:rsid w:val="00B33276"/>
    <w:rsid w:val="00B33F68"/>
    <w:rsid w:val="00B36409"/>
    <w:rsid w:val="00B413DC"/>
    <w:rsid w:val="00B41861"/>
    <w:rsid w:val="00B43BCE"/>
    <w:rsid w:val="00B43C32"/>
    <w:rsid w:val="00B454FD"/>
    <w:rsid w:val="00B45DDD"/>
    <w:rsid w:val="00B46E55"/>
    <w:rsid w:val="00B47374"/>
    <w:rsid w:val="00B477BF"/>
    <w:rsid w:val="00B515E5"/>
    <w:rsid w:val="00B52C9C"/>
    <w:rsid w:val="00B53F3C"/>
    <w:rsid w:val="00B54B10"/>
    <w:rsid w:val="00B5533D"/>
    <w:rsid w:val="00B55EE5"/>
    <w:rsid w:val="00B61828"/>
    <w:rsid w:val="00B619D3"/>
    <w:rsid w:val="00B61C5C"/>
    <w:rsid w:val="00B6242C"/>
    <w:rsid w:val="00B63354"/>
    <w:rsid w:val="00B63768"/>
    <w:rsid w:val="00B64C82"/>
    <w:rsid w:val="00B65FF5"/>
    <w:rsid w:val="00B67C5E"/>
    <w:rsid w:val="00B67FFB"/>
    <w:rsid w:val="00B720DF"/>
    <w:rsid w:val="00B74D18"/>
    <w:rsid w:val="00B82C98"/>
    <w:rsid w:val="00B8471F"/>
    <w:rsid w:val="00B8796D"/>
    <w:rsid w:val="00B87EE8"/>
    <w:rsid w:val="00B92736"/>
    <w:rsid w:val="00B92A8B"/>
    <w:rsid w:val="00B92E0D"/>
    <w:rsid w:val="00B93323"/>
    <w:rsid w:val="00B946D3"/>
    <w:rsid w:val="00B956DB"/>
    <w:rsid w:val="00B9578D"/>
    <w:rsid w:val="00B971C7"/>
    <w:rsid w:val="00B9740F"/>
    <w:rsid w:val="00BA12B9"/>
    <w:rsid w:val="00BA42A1"/>
    <w:rsid w:val="00BA4328"/>
    <w:rsid w:val="00BB0F1E"/>
    <w:rsid w:val="00BB1175"/>
    <w:rsid w:val="00BB1E6D"/>
    <w:rsid w:val="00BB260B"/>
    <w:rsid w:val="00BB3D00"/>
    <w:rsid w:val="00BB44CA"/>
    <w:rsid w:val="00BB6C03"/>
    <w:rsid w:val="00BB6DB1"/>
    <w:rsid w:val="00BC1C16"/>
    <w:rsid w:val="00BC2DB4"/>
    <w:rsid w:val="00BC4F0B"/>
    <w:rsid w:val="00BC64A2"/>
    <w:rsid w:val="00BC733F"/>
    <w:rsid w:val="00BD00AA"/>
    <w:rsid w:val="00BD0515"/>
    <w:rsid w:val="00BD0F06"/>
    <w:rsid w:val="00BD11CB"/>
    <w:rsid w:val="00BD26E5"/>
    <w:rsid w:val="00BD2F10"/>
    <w:rsid w:val="00BD3C18"/>
    <w:rsid w:val="00BD7C1D"/>
    <w:rsid w:val="00BE0733"/>
    <w:rsid w:val="00BE12EE"/>
    <w:rsid w:val="00BE331B"/>
    <w:rsid w:val="00BE39C5"/>
    <w:rsid w:val="00BE4ECC"/>
    <w:rsid w:val="00BF333C"/>
    <w:rsid w:val="00BF41FF"/>
    <w:rsid w:val="00BF4C8D"/>
    <w:rsid w:val="00BF7D49"/>
    <w:rsid w:val="00C05187"/>
    <w:rsid w:val="00C0556A"/>
    <w:rsid w:val="00C06788"/>
    <w:rsid w:val="00C067E7"/>
    <w:rsid w:val="00C0686D"/>
    <w:rsid w:val="00C06EBC"/>
    <w:rsid w:val="00C07DFE"/>
    <w:rsid w:val="00C12D63"/>
    <w:rsid w:val="00C143AA"/>
    <w:rsid w:val="00C1502D"/>
    <w:rsid w:val="00C154F8"/>
    <w:rsid w:val="00C158D0"/>
    <w:rsid w:val="00C179CD"/>
    <w:rsid w:val="00C21185"/>
    <w:rsid w:val="00C21306"/>
    <w:rsid w:val="00C21373"/>
    <w:rsid w:val="00C228B3"/>
    <w:rsid w:val="00C23ACB"/>
    <w:rsid w:val="00C24470"/>
    <w:rsid w:val="00C24B7C"/>
    <w:rsid w:val="00C26886"/>
    <w:rsid w:val="00C30EF7"/>
    <w:rsid w:val="00C319A9"/>
    <w:rsid w:val="00C31A4B"/>
    <w:rsid w:val="00C35A99"/>
    <w:rsid w:val="00C379B1"/>
    <w:rsid w:val="00C403E3"/>
    <w:rsid w:val="00C40A00"/>
    <w:rsid w:val="00C412E6"/>
    <w:rsid w:val="00C42A24"/>
    <w:rsid w:val="00C44533"/>
    <w:rsid w:val="00C453AA"/>
    <w:rsid w:val="00C458DF"/>
    <w:rsid w:val="00C45AF8"/>
    <w:rsid w:val="00C45CAD"/>
    <w:rsid w:val="00C46445"/>
    <w:rsid w:val="00C515A4"/>
    <w:rsid w:val="00C5333B"/>
    <w:rsid w:val="00C53CD8"/>
    <w:rsid w:val="00C554A3"/>
    <w:rsid w:val="00C560D8"/>
    <w:rsid w:val="00C56274"/>
    <w:rsid w:val="00C562C0"/>
    <w:rsid w:val="00C569EE"/>
    <w:rsid w:val="00C56BC4"/>
    <w:rsid w:val="00C56DEF"/>
    <w:rsid w:val="00C57429"/>
    <w:rsid w:val="00C60805"/>
    <w:rsid w:val="00C6255A"/>
    <w:rsid w:val="00C63905"/>
    <w:rsid w:val="00C643BD"/>
    <w:rsid w:val="00C653C4"/>
    <w:rsid w:val="00C65C42"/>
    <w:rsid w:val="00C7230F"/>
    <w:rsid w:val="00C7279A"/>
    <w:rsid w:val="00C72CC8"/>
    <w:rsid w:val="00C744D0"/>
    <w:rsid w:val="00C76182"/>
    <w:rsid w:val="00C80FD8"/>
    <w:rsid w:val="00C81778"/>
    <w:rsid w:val="00C817EF"/>
    <w:rsid w:val="00C85B17"/>
    <w:rsid w:val="00C85F0B"/>
    <w:rsid w:val="00C867DA"/>
    <w:rsid w:val="00C92D20"/>
    <w:rsid w:val="00C94DF2"/>
    <w:rsid w:val="00C965A0"/>
    <w:rsid w:val="00C9769D"/>
    <w:rsid w:val="00C9779C"/>
    <w:rsid w:val="00CB09DC"/>
    <w:rsid w:val="00CB1A6C"/>
    <w:rsid w:val="00CB4619"/>
    <w:rsid w:val="00CB50BB"/>
    <w:rsid w:val="00CB5964"/>
    <w:rsid w:val="00CB6BBF"/>
    <w:rsid w:val="00CB6DEF"/>
    <w:rsid w:val="00CC1C86"/>
    <w:rsid w:val="00CC2322"/>
    <w:rsid w:val="00CC5AB3"/>
    <w:rsid w:val="00CD18D2"/>
    <w:rsid w:val="00CD2C01"/>
    <w:rsid w:val="00CD2DAA"/>
    <w:rsid w:val="00CD2EE2"/>
    <w:rsid w:val="00CD436E"/>
    <w:rsid w:val="00CD735B"/>
    <w:rsid w:val="00CE09DC"/>
    <w:rsid w:val="00CE17B7"/>
    <w:rsid w:val="00CE1ECB"/>
    <w:rsid w:val="00CE39C7"/>
    <w:rsid w:val="00CE57E3"/>
    <w:rsid w:val="00CE6127"/>
    <w:rsid w:val="00CE6E8D"/>
    <w:rsid w:val="00CE7581"/>
    <w:rsid w:val="00CF0C05"/>
    <w:rsid w:val="00CF1BF7"/>
    <w:rsid w:val="00CF226C"/>
    <w:rsid w:val="00CF2306"/>
    <w:rsid w:val="00CF26AE"/>
    <w:rsid w:val="00CF2E40"/>
    <w:rsid w:val="00CF5B34"/>
    <w:rsid w:val="00CF5BDB"/>
    <w:rsid w:val="00D013D0"/>
    <w:rsid w:val="00D015A1"/>
    <w:rsid w:val="00D0492D"/>
    <w:rsid w:val="00D055E9"/>
    <w:rsid w:val="00D116C3"/>
    <w:rsid w:val="00D11874"/>
    <w:rsid w:val="00D22DB7"/>
    <w:rsid w:val="00D23B4B"/>
    <w:rsid w:val="00D24471"/>
    <w:rsid w:val="00D261C4"/>
    <w:rsid w:val="00D30B52"/>
    <w:rsid w:val="00D30DCC"/>
    <w:rsid w:val="00D33AA3"/>
    <w:rsid w:val="00D33AAC"/>
    <w:rsid w:val="00D357F9"/>
    <w:rsid w:val="00D359CC"/>
    <w:rsid w:val="00D40020"/>
    <w:rsid w:val="00D40C1C"/>
    <w:rsid w:val="00D41027"/>
    <w:rsid w:val="00D43F84"/>
    <w:rsid w:val="00D45541"/>
    <w:rsid w:val="00D5000C"/>
    <w:rsid w:val="00D500DD"/>
    <w:rsid w:val="00D509D9"/>
    <w:rsid w:val="00D51C38"/>
    <w:rsid w:val="00D5230C"/>
    <w:rsid w:val="00D53E9C"/>
    <w:rsid w:val="00D54520"/>
    <w:rsid w:val="00D546D5"/>
    <w:rsid w:val="00D5471E"/>
    <w:rsid w:val="00D5576F"/>
    <w:rsid w:val="00D55A5A"/>
    <w:rsid w:val="00D56219"/>
    <w:rsid w:val="00D602E6"/>
    <w:rsid w:val="00D604AC"/>
    <w:rsid w:val="00D60D7F"/>
    <w:rsid w:val="00D617B3"/>
    <w:rsid w:val="00D61B80"/>
    <w:rsid w:val="00D61BEA"/>
    <w:rsid w:val="00D639E3"/>
    <w:rsid w:val="00D65FC5"/>
    <w:rsid w:val="00D672E7"/>
    <w:rsid w:val="00D709F0"/>
    <w:rsid w:val="00D72FA5"/>
    <w:rsid w:val="00D73C6B"/>
    <w:rsid w:val="00D74A35"/>
    <w:rsid w:val="00D7561D"/>
    <w:rsid w:val="00D75AB3"/>
    <w:rsid w:val="00D804B7"/>
    <w:rsid w:val="00D82BBF"/>
    <w:rsid w:val="00D82ECD"/>
    <w:rsid w:val="00D83743"/>
    <w:rsid w:val="00D85ED5"/>
    <w:rsid w:val="00D875D4"/>
    <w:rsid w:val="00D87ADE"/>
    <w:rsid w:val="00D87BAC"/>
    <w:rsid w:val="00D87DB4"/>
    <w:rsid w:val="00D9052F"/>
    <w:rsid w:val="00D90605"/>
    <w:rsid w:val="00D92A43"/>
    <w:rsid w:val="00D96EF9"/>
    <w:rsid w:val="00DA271B"/>
    <w:rsid w:val="00DA3639"/>
    <w:rsid w:val="00DA43C8"/>
    <w:rsid w:val="00DA66CB"/>
    <w:rsid w:val="00DB13E5"/>
    <w:rsid w:val="00DB3C44"/>
    <w:rsid w:val="00DB3E0D"/>
    <w:rsid w:val="00DB73CD"/>
    <w:rsid w:val="00DC0907"/>
    <w:rsid w:val="00DC1D74"/>
    <w:rsid w:val="00DC2091"/>
    <w:rsid w:val="00DC34E1"/>
    <w:rsid w:val="00DC4475"/>
    <w:rsid w:val="00DD05E8"/>
    <w:rsid w:val="00DD212B"/>
    <w:rsid w:val="00DD5DA1"/>
    <w:rsid w:val="00DD63B0"/>
    <w:rsid w:val="00DD679A"/>
    <w:rsid w:val="00DD725D"/>
    <w:rsid w:val="00DE094C"/>
    <w:rsid w:val="00DE19D6"/>
    <w:rsid w:val="00DE223D"/>
    <w:rsid w:val="00DE711D"/>
    <w:rsid w:val="00DF10C2"/>
    <w:rsid w:val="00DF1153"/>
    <w:rsid w:val="00DF1583"/>
    <w:rsid w:val="00DF2510"/>
    <w:rsid w:val="00DF5DEE"/>
    <w:rsid w:val="00DF7804"/>
    <w:rsid w:val="00DF7A2D"/>
    <w:rsid w:val="00E04831"/>
    <w:rsid w:val="00E05185"/>
    <w:rsid w:val="00E11010"/>
    <w:rsid w:val="00E11ABE"/>
    <w:rsid w:val="00E12345"/>
    <w:rsid w:val="00E133F3"/>
    <w:rsid w:val="00E13810"/>
    <w:rsid w:val="00E146F4"/>
    <w:rsid w:val="00E169ED"/>
    <w:rsid w:val="00E1775D"/>
    <w:rsid w:val="00E2307B"/>
    <w:rsid w:val="00E31174"/>
    <w:rsid w:val="00E31424"/>
    <w:rsid w:val="00E33B32"/>
    <w:rsid w:val="00E33E7E"/>
    <w:rsid w:val="00E34856"/>
    <w:rsid w:val="00E354BE"/>
    <w:rsid w:val="00E35961"/>
    <w:rsid w:val="00E362AA"/>
    <w:rsid w:val="00E408EF"/>
    <w:rsid w:val="00E42910"/>
    <w:rsid w:val="00E44903"/>
    <w:rsid w:val="00E46959"/>
    <w:rsid w:val="00E46C4C"/>
    <w:rsid w:val="00E47221"/>
    <w:rsid w:val="00E513C1"/>
    <w:rsid w:val="00E5194C"/>
    <w:rsid w:val="00E52B46"/>
    <w:rsid w:val="00E53C56"/>
    <w:rsid w:val="00E56409"/>
    <w:rsid w:val="00E568C6"/>
    <w:rsid w:val="00E618CF"/>
    <w:rsid w:val="00E62CF8"/>
    <w:rsid w:val="00E62D05"/>
    <w:rsid w:val="00E631F7"/>
    <w:rsid w:val="00E6704C"/>
    <w:rsid w:val="00E7167B"/>
    <w:rsid w:val="00E76B2A"/>
    <w:rsid w:val="00E76D76"/>
    <w:rsid w:val="00E76F72"/>
    <w:rsid w:val="00E77D1C"/>
    <w:rsid w:val="00E800DC"/>
    <w:rsid w:val="00E82E43"/>
    <w:rsid w:val="00E83CDB"/>
    <w:rsid w:val="00E8413E"/>
    <w:rsid w:val="00E861E3"/>
    <w:rsid w:val="00E9404E"/>
    <w:rsid w:val="00E9410E"/>
    <w:rsid w:val="00E94FBF"/>
    <w:rsid w:val="00EA0B54"/>
    <w:rsid w:val="00EA1129"/>
    <w:rsid w:val="00EA17A4"/>
    <w:rsid w:val="00EA62A1"/>
    <w:rsid w:val="00EA7756"/>
    <w:rsid w:val="00EB058D"/>
    <w:rsid w:val="00EB1D0F"/>
    <w:rsid w:val="00EB51A4"/>
    <w:rsid w:val="00EB7361"/>
    <w:rsid w:val="00EC0D00"/>
    <w:rsid w:val="00EC2685"/>
    <w:rsid w:val="00EC302D"/>
    <w:rsid w:val="00EC327D"/>
    <w:rsid w:val="00EC3FBE"/>
    <w:rsid w:val="00EC4BE6"/>
    <w:rsid w:val="00EC4F52"/>
    <w:rsid w:val="00EC6A1F"/>
    <w:rsid w:val="00ED00E3"/>
    <w:rsid w:val="00ED0D0D"/>
    <w:rsid w:val="00ED2BA5"/>
    <w:rsid w:val="00ED37F8"/>
    <w:rsid w:val="00ED3C06"/>
    <w:rsid w:val="00EE0CC5"/>
    <w:rsid w:val="00EE1160"/>
    <w:rsid w:val="00EE26CC"/>
    <w:rsid w:val="00EE271D"/>
    <w:rsid w:val="00EE34FF"/>
    <w:rsid w:val="00EE37D9"/>
    <w:rsid w:val="00EE53DC"/>
    <w:rsid w:val="00EE6B2F"/>
    <w:rsid w:val="00EE6B5A"/>
    <w:rsid w:val="00EE722A"/>
    <w:rsid w:val="00EF1A8F"/>
    <w:rsid w:val="00EF41CD"/>
    <w:rsid w:val="00F014E3"/>
    <w:rsid w:val="00F03382"/>
    <w:rsid w:val="00F040F3"/>
    <w:rsid w:val="00F041E7"/>
    <w:rsid w:val="00F1197E"/>
    <w:rsid w:val="00F12C81"/>
    <w:rsid w:val="00F13500"/>
    <w:rsid w:val="00F14B7F"/>
    <w:rsid w:val="00F20B8B"/>
    <w:rsid w:val="00F226BA"/>
    <w:rsid w:val="00F23B6F"/>
    <w:rsid w:val="00F254E5"/>
    <w:rsid w:val="00F257F7"/>
    <w:rsid w:val="00F25BD4"/>
    <w:rsid w:val="00F3074B"/>
    <w:rsid w:val="00F321F2"/>
    <w:rsid w:val="00F3265B"/>
    <w:rsid w:val="00F36E69"/>
    <w:rsid w:val="00F40D32"/>
    <w:rsid w:val="00F418B8"/>
    <w:rsid w:val="00F41F0D"/>
    <w:rsid w:val="00F432A9"/>
    <w:rsid w:val="00F44F17"/>
    <w:rsid w:val="00F46E2C"/>
    <w:rsid w:val="00F47371"/>
    <w:rsid w:val="00F50429"/>
    <w:rsid w:val="00F51242"/>
    <w:rsid w:val="00F5133E"/>
    <w:rsid w:val="00F529F9"/>
    <w:rsid w:val="00F55010"/>
    <w:rsid w:val="00F5549B"/>
    <w:rsid w:val="00F5575E"/>
    <w:rsid w:val="00F56A3A"/>
    <w:rsid w:val="00F575FA"/>
    <w:rsid w:val="00F57FDA"/>
    <w:rsid w:val="00F62AF2"/>
    <w:rsid w:val="00F64103"/>
    <w:rsid w:val="00F653A2"/>
    <w:rsid w:val="00F65AD8"/>
    <w:rsid w:val="00F67C58"/>
    <w:rsid w:val="00F70E77"/>
    <w:rsid w:val="00F731B3"/>
    <w:rsid w:val="00F7422B"/>
    <w:rsid w:val="00F74671"/>
    <w:rsid w:val="00F74D0C"/>
    <w:rsid w:val="00F76183"/>
    <w:rsid w:val="00F7638A"/>
    <w:rsid w:val="00F7661B"/>
    <w:rsid w:val="00F76A2B"/>
    <w:rsid w:val="00F8325E"/>
    <w:rsid w:val="00F85944"/>
    <w:rsid w:val="00F85A28"/>
    <w:rsid w:val="00F85AAA"/>
    <w:rsid w:val="00F85B1F"/>
    <w:rsid w:val="00F87916"/>
    <w:rsid w:val="00F90486"/>
    <w:rsid w:val="00F91A34"/>
    <w:rsid w:val="00F945F2"/>
    <w:rsid w:val="00F95A2F"/>
    <w:rsid w:val="00F96E5F"/>
    <w:rsid w:val="00FA0ECB"/>
    <w:rsid w:val="00FA10AC"/>
    <w:rsid w:val="00FA1CF3"/>
    <w:rsid w:val="00FA35CD"/>
    <w:rsid w:val="00FA3B56"/>
    <w:rsid w:val="00FA55F4"/>
    <w:rsid w:val="00FA5BFB"/>
    <w:rsid w:val="00FA627C"/>
    <w:rsid w:val="00FA6A57"/>
    <w:rsid w:val="00FA7ADD"/>
    <w:rsid w:val="00FB01CA"/>
    <w:rsid w:val="00FB17A9"/>
    <w:rsid w:val="00FB1991"/>
    <w:rsid w:val="00FB2929"/>
    <w:rsid w:val="00FB577A"/>
    <w:rsid w:val="00FB7A29"/>
    <w:rsid w:val="00FB7FBD"/>
    <w:rsid w:val="00FC0DDE"/>
    <w:rsid w:val="00FC18E3"/>
    <w:rsid w:val="00FC4076"/>
    <w:rsid w:val="00FC5FB1"/>
    <w:rsid w:val="00FC6494"/>
    <w:rsid w:val="00FC6EE1"/>
    <w:rsid w:val="00FD0B5D"/>
    <w:rsid w:val="00FD2224"/>
    <w:rsid w:val="00FD245A"/>
    <w:rsid w:val="00FD2A88"/>
    <w:rsid w:val="00FD56E5"/>
    <w:rsid w:val="00FE16F9"/>
    <w:rsid w:val="00FE1921"/>
    <w:rsid w:val="00FE24EE"/>
    <w:rsid w:val="00FE7D8F"/>
    <w:rsid w:val="00FF1E0B"/>
    <w:rsid w:val="00FF2059"/>
    <w:rsid w:val="00FF6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F"/>
    <w:rPr>
      <w:rFonts w:ascii="Tahoma" w:hAnsi="Tahoma"/>
      <w:sz w:val="22"/>
      <w:szCs w:val="22"/>
      <w:lang w:val="en-US" w:eastAsia="en-US"/>
    </w:rPr>
  </w:style>
  <w:style w:type="paragraph" w:styleId="Heading1">
    <w:name w:val="heading 1"/>
    <w:basedOn w:val="Normal"/>
    <w:next w:val="Normal"/>
    <w:link w:val="Heading1Char"/>
    <w:uiPriority w:val="9"/>
    <w:qFormat/>
    <w:rsid w:val="00F432A9"/>
    <w:pPr>
      <w:keepNext/>
      <w:keepLines/>
      <w:numPr>
        <w:numId w:val="1"/>
      </w:numPr>
      <w:tabs>
        <w:tab w:val="left" w:pos="-4111"/>
      </w:tabs>
      <w:outlineLvl w:val="0"/>
    </w:pPr>
    <w:rPr>
      <w:rFonts w:eastAsia="Times New Roman" w:cs="Tahoma"/>
      <w:b/>
      <w:bCs/>
      <w:sz w:val="28"/>
      <w:szCs w:val="28"/>
      <w:lang w:val="mk-MK"/>
    </w:rPr>
  </w:style>
  <w:style w:type="paragraph" w:styleId="Heading2">
    <w:name w:val="heading 2"/>
    <w:basedOn w:val="Normal"/>
    <w:next w:val="Normal"/>
    <w:link w:val="Heading2Char"/>
    <w:autoRedefine/>
    <w:uiPriority w:val="9"/>
    <w:unhideWhenUsed/>
    <w:qFormat/>
    <w:rsid w:val="003B2315"/>
    <w:pPr>
      <w:keepNext/>
      <w:keepLines/>
      <w:numPr>
        <w:ilvl w:val="1"/>
        <w:numId w:val="1"/>
      </w:numPr>
      <w:ind w:left="-3969" w:hanging="567"/>
      <w:outlineLvl w:val="1"/>
    </w:pPr>
    <w:rPr>
      <w:rFonts w:eastAsia="Times New Roman" w:cs="Tahoma"/>
      <w:b/>
      <w:snapToGrid w:val="0"/>
      <w:color w:val="000000"/>
      <w:w w:val="0"/>
      <w:lang w:val="mk-MK"/>
    </w:rPr>
  </w:style>
  <w:style w:type="paragraph" w:styleId="Heading3">
    <w:name w:val="heading 3"/>
    <w:basedOn w:val="Heading2"/>
    <w:next w:val="Heading2"/>
    <w:link w:val="Heading3Char"/>
    <w:uiPriority w:val="9"/>
    <w:unhideWhenUsed/>
    <w:qFormat/>
    <w:rsid w:val="008E6D94"/>
    <w:pPr>
      <w:numPr>
        <w:ilvl w:val="2"/>
      </w:numPr>
      <w:tabs>
        <w:tab w:val="left" w:pos="709"/>
      </w:tabs>
      <w:ind w:left="709" w:hanging="283"/>
      <w:outlineLvl w:val="2"/>
    </w:pPr>
    <w:rPr>
      <w:rFonts w:eastAsia="Calibri"/>
    </w:rPr>
  </w:style>
  <w:style w:type="paragraph" w:styleId="Heading4">
    <w:name w:val="heading 4"/>
    <w:basedOn w:val="Heading3"/>
    <w:next w:val="Normal"/>
    <w:link w:val="Heading4Char"/>
    <w:uiPriority w:val="9"/>
    <w:unhideWhenUsed/>
    <w:qFormat/>
    <w:rsid w:val="001C0FED"/>
    <w:pPr>
      <w:numPr>
        <w:ilvl w:val="3"/>
      </w:numPr>
      <w:tabs>
        <w:tab w:val="left" w:pos="900"/>
      </w:tabs>
      <w:outlineLvl w:val="3"/>
    </w:pPr>
  </w:style>
  <w:style w:type="paragraph" w:styleId="Heading5">
    <w:name w:val="heading 5"/>
    <w:basedOn w:val="Heading4"/>
    <w:next w:val="Normal"/>
    <w:link w:val="Heading5Char"/>
    <w:uiPriority w:val="9"/>
    <w:unhideWhenUsed/>
    <w:qFormat/>
    <w:rsid w:val="005653CF"/>
    <w:pPr>
      <w:numPr>
        <w:ilvl w:val="4"/>
      </w:numPr>
      <w:outlineLvl w:val="4"/>
    </w:pPr>
  </w:style>
  <w:style w:type="paragraph" w:styleId="Heading6">
    <w:name w:val="heading 6"/>
    <w:basedOn w:val="Normal"/>
    <w:next w:val="Normal"/>
    <w:link w:val="Heading6Char"/>
    <w:uiPriority w:val="9"/>
    <w:unhideWhenUsed/>
    <w:qFormat/>
    <w:rsid w:val="00620347"/>
    <w:pPr>
      <w:keepNext/>
      <w:keepLines/>
      <w:numPr>
        <w:ilvl w:val="5"/>
        <w:numId w:val="1"/>
      </w:numPr>
      <w:outlineLvl w:val="5"/>
    </w:pPr>
    <w:rPr>
      <w:rFonts w:eastAsiaTheme="majorEastAsia" w:cstheme="majorBidi"/>
      <w:b/>
      <w:i/>
      <w:iCs/>
      <w:sz w:val="36"/>
    </w:rPr>
  </w:style>
  <w:style w:type="paragraph" w:styleId="Heading7">
    <w:name w:val="heading 7"/>
    <w:basedOn w:val="Normal"/>
    <w:next w:val="Normal"/>
    <w:link w:val="Heading7Char"/>
    <w:uiPriority w:val="9"/>
    <w:unhideWhenUsed/>
    <w:qFormat/>
    <w:rsid w:val="00BD2F10"/>
    <w:pPr>
      <w:keepNext/>
      <w:keepLines/>
      <w:spacing w:before="200"/>
      <w:outlineLvl w:val="6"/>
    </w:pPr>
    <w:rPr>
      <w:rFonts w:eastAsiaTheme="majorEastAsia" w:cs="Tahoma"/>
      <w:b/>
      <w:i/>
      <w:iCs/>
      <w:color w:val="404040" w:themeColor="text1" w:themeTint="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2A9"/>
    <w:rPr>
      <w:rFonts w:ascii="Tahoma" w:eastAsia="Times New Roman" w:hAnsi="Tahoma" w:cs="Tahoma"/>
      <w:b/>
      <w:bCs/>
      <w:sz w:val="28"/>
      <w:szCs w:val="28"/>
      <w:lang w:eastAsia="en-US"/>
    </w:rPr>
  </w:style>
  <w:style w:type="character" w:customStyle="1" w:styleId="Heading2Char">
    <w:name w:val="Heading 2 Char"/>
    <w:basedOn w:val="DefaultParagraphFont"/>
    <w:link w:val="Heading2"/>
    <w:uiPriority w:val="9"/>
    <w:rsid w:val="003B2315"/>
    <w:rPr>
      <w:rFonts w:ascii="Tahoma" w:eastAsia="Times New Roman" w:hAnsi="Tahoma" w:cs="Tahoma"/>
      <w:b/>
      <w:snapToGrid w:val="0"/>
      <w:color w:val="000000"/>
      <w:w w:val="0"/>
      <w:sz w:val="22"/>
      <w:szCs w:val="22"/>
      <w:lang w:eastAsia="en-US"/>
    </w:rPr>
  </w:style>
  <w:style w:type="paragraph" w:styleId="Title">
    <w:name w:val="Title"/>
    <w:basedOn w:val="Normal"/>
    <w:next w:val="Normal"/>
    <w:link w:val="TitleChar"/>
    <w:uiPriority w:val="10"/>
    <w:qFormat/>
    <w:rsid w:val="00A55768"/>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10"/>
    <w:rsid w:val="00A55768"/>
    <w:rPr>
      <w:rFonts w:ascii="Tahoma" w:eastAsia="Times New Roman" w:hAnsi="Tahoma" w:cs="Times New Roman"/>
      <w:color w:val="17365D"/>
      <w:spacing w:val="5"/>
      <w:kern w:val="28"/>
      <w:sz w:val="52"/>
      <w:szCs w:val="52"/>
    </w:rPr>
  </w:style>
  <w:style w:type="paragraph" w:styleId="Subtitle">
    <w:name w:val="Subtitle"/>
    <w:basedOn w:val="Normal"/>
    <w:next w:val="Normal"/>
    <w:link w:val="SubtitleChar"/>
    <w:uiPriority w:val="11"/>
    <w:qFormat/>
    <w:rsid w:val="00A55768"/>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A55768"/>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A605A"/>
    <w:rPr>
      <w:rFonts w:cs="Tahoma"/>
      <w:sz w:val="16"/>
      <w:szCs w:val="16"/>
    </w:rPr>
  </w:style>
  <w:style w:type="character" w:customStyle="1" w:styleId="BalloonTextChar">
    <w:name w:val="Balloon Text Char"/>
    <w:basedOn w:val="DefaultParagraphFont"/>
    <w:link w:val="BalloonText"/>
    <w:uiPriority w:val="99"/>
    <w:semiHidden/>
    <w:rsid w:val="004A605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4A605A"/>
    <w:rPr>
      <w:sz w:val="16"/>
      <w:szCs w:val="16"/>
    </w:rPr>
  </w:style>
  <w:style w:type="paragraph" w:styleId="CommentText">
    <w:name w:val="annotation text"/>
    <w:basedOn w:val="Normal"/>
    <w:link w:val="CommentTextChar"/>
    <w:uiPriority w:val="99"/>
    <w:unhideWhenUsed/>
    <w:rsid w:val="004A605A"/>
    <w:rPr>
      <w:sz w:val="20"/>
      <w:szCs w:val="20"/>
    </w:rPr>
  </w:style>
  <w:style w:type="character" w:customStyle="1" w:styleId="CommentTextChar">
    <w:name w:val="Comment Text Char"/>
    <w:basedOn w:val="DefaultParagraphFont"/>
    <w:link w:val="CommentText"/>
    <w:uiPriority w:val="99"/>
    <w:rsid w:val="004A605A"/>
    <w:rPr>
      <w:rFonts w:ascii="Tahoma" w:hAnsi="Tahoma"/>
      <w:lang w:val="en-US" w:eastAsia="en-US"/>
    </w:rPr>
  </w:style>
  <w:style w:type="paragraph" w:styleId="CommentSubject">
    <w:name w:val="annotation subject"/>
    <w:basedOn w:val="CommentText"/>
    <w:next w:val="CommentText"/>
    <w:link w:val="CommentSubjectChar"/>
    <w:uiPriority w:val="99"/>
    <w:semiHidden/>
    <w:unhideWhenUsed/>
    <w:rsid w:val="004A605A"/>
    <w:rPr>
      <w:b/>
      <w:bCs/>
    </w:rPr>
  </w:style>
  <w:style w:type="character" w:customStyle="1" w:styleId="CommentSubjectChar">
    <w:name w:val="Comment Subject Char"/>
    <w:basedOn w:val="CommentTextChar"/>
    <w:link w:val="CommentSubject"/>
    <w:uiPriority w:val="99"/>
    <w:semiHidden/>
    <w:rsid w:val="004A605A"/>
    <w:rPr>
      <w:b/>
      <w:bCs/>
    </w:rPr>
  </w:style>
  <w:style w:type="paragraph" w:styleId="Revision">
    <w:name w:val="Revision"/>
    <w:hidden/>
    <w:uiPriority w:val="99"/>
    <w:semiHidden/>
    <w:rsid w:val="001018B9"/>
    <w:rPr>
      <w:rFonts w:ascii="Tahoma" w:hAnsi="Tahoma"/>
      <w:sz w:val="22"/>
      <w:szCs w:val="22"/>
      <w:lang w:val="en-US" w:eastAsia="en-US"/>
    </w:rPr>
  </w:style>
  <w:style w:type="paragraph" w:styleId="Header">
    <w:name w:val="header"/>
    <w:basedOn w:val="Normal"/>
    <w:link w:val="HeaderChar"/>
    <w:uiPriority w:val="99"/>
    <w:unhideWhenUsed/>
    <w:rsid w:val="00EC4F52"/>
    <w:pPr>
      <w:tabs>
        <w:tab w:val="center" w:pos="4680"/>
        <w:tab w:val="right" w:pos="9360"/>
      </w:tabs>
    </w:pPr>
  </w:style>
  <w:style w:type="character" w:customStyle="1" w:styleId="HeaderChar">
    <w:name w:val="Header Char"/>
    <w:basedOn w:val="DefaultParagraphFont"/>
    <w:link w:val="Header"/>
    <w:uiPriority w:val="99"/>
    <w:rsid w:val="00EC4F52"/>
    <w:rPr>
      <w:rFonts w:ascii="Tahoma" w:hAnsi="Tahoma"/>
      <w:sz w:val="22"/>
      <w:szCs w:val="22"/>
    </w:rPr>
  </w:style>
  <w:style w:type="paragraph" w:styleId="Footer">
    <w:name w:val="footer"/>
    <w:basedOn w:val="Normal"/>
    <w:link w:val="FooterChar"/>
    <w:uiPriority w:val="99"/>
    <w:unhideWhenUsed/>
    <w:rsid w:val="00EC4F52"/>
    <w:pPr>
      <w:tabs>
        <w:tab w:val="center" w:pos="4680"/>
        <w:tab w:val="right" w:pos="9360"/>
      </w:tabs>
    </w:pPr>
  </w:style>
  <w:style w:type="character" w:customStyle="1" w:styleId="FooterChar">
    <w:name w:val="Footer Char"/>
    <w:basedOn w:val="DefaultParagraphFont"/>
    <w:link w:val="Footer"/>
    <w:uiPriority w:val="99"/>
    <w:rsid w:val="00EC4F52"/>
    <w:rPr>
      <w:rFonts w:ascii="Tahoma" w:hAnsi="Tahoma"/>
      <w:sz w:val="22"/>
      <w:szCs w:val="22"/>
    </w:rPr>
  </w:style>
  <w:style w:type="paragraph" w:styleId="NormalWeb">
    <w:name w:val="Normal (Web)"/>
    <w:basedOn w:val="Normal"/>
    <w:uiPriority w:val="99"/>
    <w:semiHidden/>
    <w:unhideWhenUsed/>
    <w:rsid w:val="008452B6"/>
    <w:pPr>
      <w:spacing w:before="100" w:beforeAutospacing="1" w:after="100" w:afterAutospacing="1" w:line="384" w:lineRule="atLeast"/>
    </w:pPr>
    <w:rPr>
      <w:rFonts w:ascii="Times New Roman" w:eastAsia="Times New Roman" w:hAnsi="Times New Roman"/>
      <w:sz w:val="24"/>
      <w:szCs w:val="24"/>
    </w:rPr>
  </w:style>
  <w:style w:type="paragraph" w:styleId="FootnoteText">
    <w:name w:val="footnote text"/>
    <w:basedOn w:val="Normal"/>
    <w:link w:val="FootnoteTextChar"/>
    <w:unhideWhenUsed/>
    <w:rsid w:val="009F54CD"/>
    <w:rPr>
      <w:sz w:val="20"/>
      <w:szCs w:val="20"/>
    </w:rPr>
  </w:style>
  <w:style w:type="character" w:customStyle="1" w:styleId="FootnoteTextChar">
    <w:name w:val="Footnote Text Char"/>
    <w:basedOn w:val="DefaultParagraphFont"/>
    <w:link w:val="FootnoteText"/>
    <w:rsid w:val="009F54CD"/>
    <w:rPr>
      <w:rFonts w:ascii="Tahoma" w:hAnsi="Tahoma"/>
    </w:rPr>
  </w:style>
  <w:style w:type="character" w:styleId="FootnoteReference">
    <w:name w:val="footnote reference"/>
    <w:basedOn w:val="DefaultParagraphFont"/>
    <w:uiPriority w:val="99"/>
    <w:unhideWhenUsed/>
    <w:rsid w:val="009F54CD"/>
    <w:rPr>
      <w:vertAlign w:val="superscript"/>
    </w:rPr>
  </w:style>
  <w:style w:type="character" w:styleId="Hyperlink">
    <w:name w:val="Hyperlink"/>
    <w:basedOn w:val="DefaultParagraphFont"/>
    <w:uiPriority w:val="99"/>
    <w:unhideWhenUsed/>
    <w:rsid w:val="00E408EF"/>
    <w:rPr>
      <w:color w:val="0000FF"/>
      <w:u w:val="single"/>
    </w:rPr>
  </w:style>
  <w:style w:type="paragraph" w:styleId="ListParagraph">
    <w:name w:val="List Paragraph"/>
    <w:basedOn w:val="Normal"/>
    <w:qFormat/>
    <w:rsid w:val="002F1152"/>
    <w:pPr>
      <w:ind w:left="720"/>
      <w:contextualSpacing/>
    </w:pPr>
    <w:rPr>
      <w:rFonts w:ascii="Times New Roman" w:eastAsia="Times New Roman" w:hAnsi="Times New Roman"/>
      <w:sz w:val="20"/>
      <w:szCs w:val="20"/>
      <w:lang w:val="mk-MK"/>
    </w:rPr>
  </w:style>
  <w:style w:type="table" w:styleId="TableGrid">
    <w:name w:val="Table Grid"/>
    <w:basedOn w:val="TableNormal"/>
    <w:uiPriority w:val="59"/>
    <w:rsid w:val="00A1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E6D94"/>
    <w:rPr>
      <w:rFonts w:ascii="Tahoma" w:hAnsi="Tahoma" w:cs="Tahoma"/>
      <w:b/>
      <w:snapToGrid w:val="0"/>
      <w:color w:val="000000"/>
      <w:w w:val="0"/>
      <w:sz w:val="22"/>
      <w:szCs w:val="22"/>
      <w:lang w:eastAsia="en-US"/>
    </w:rPr>
  </w:style>
  <w:style w:type="paragraph" w:styleId="Caption">
    <w:name w:val="caption"/>
    <w:basedOn w:val="Normal"/>
    <w:next w:val="Normal"/>
    <w:uiPriority w:val="35"/>
    <w:unhideWhenUsed/>
    <w:qFormat/>
    <w:rsid w:val="003257F9"/>
    <w:rPr>
      <w:b/>
      <w:sz w:val="20"/>
    </w:rPr>
  </w:style>
  <w:style w:type="character" w:customStyle="1" w:styleId="Heading4Char">
    <w:name w:val="Heading 4 Char"/>
    <w:basedOn w:val="DefaultParagraphFont"/>
    <w:link w:val="Heading4"/>
    <w:uiPriority w:val="9"/>
    <w:rsid w:val="001C0FED"/>
    <w:rPr>
      <w:rFonts w:ascii="Tahoma" w:hAnsi="Tahoma" w:cs="Tahoma"/>
      <w:b/>
      <w:snapToGrid w:val="0"/>
      <w:color w:val="000000"/>
      <w:w w:val="0"/>
      <w:sz w:val="22"/>
      <w:szCs w:val="22"/>
      <w:lang w:eastAsia="en-US"/>
    </w:rPr>
  </w:style>
  <w:style w:type="character" w:customStyle="1" w:styleId="Heading5Char">
    <w:name w:val="Heading 5 Char"/>
    <w:basedOn w:val="DefaultParagraphFont"/>
    <w:link w:val="Heading5"/>
    <w:uiPriority w:val="9"/>
    <w:rsid w:val="005653CF"/>
    <w:rPr>
      <w:rFonts w:ascii="Tahoma" w:hAnsi="Tahoma" w:cs="Tahoma"/>
      <w:b/>
      <w:snapToGrid w:val="0"/>
      <w:color w:val="000000"/>
      <w:w w:val="0"/>
      <w:sz w:val="22"/>
      <w:szCs w:val="22"/>
      <w:lang w:eastAsia="en-US"/>
    </w:rPr>
  </w:style>
  <w:style w:type="paragraph" w:styleId="TOCHeading">
    <w:name w:val="TOC Heading"/>
    <w:basedOn w:val="Heading1"/>
    <w:next w:val="Normal"/>
    <w:uiPriority w:val="39"/>
    <w:unhideWhenUsed/>
    <w:qFormat/>
    <w:rsid w:val="00AD618F"/>
    <w:pPr>
      <w:numPr>
        <w:numId w:val="0"/>
      </w:numPr>
      <w:spacing w:before="480" w:line="276" w:lineRule="auto"/>
      <w:jc w:val="left"/>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7562D9"/>
    <w:pPr>
      <w:tabs>
        <w:tab w:val="left" w:pos="-3960"/>
        <w:tab w:val="right" w:leader="dot" w:pos="4860"/>
      </w:tabs>
      <w:spacing w:after="100"/>
      <w:ind w:left="-4140" w:hanging="360"/>
    </w:pPr>
    <w:rPr>
      <w:b/>
    </w:rPr>
  </w:style>
  <w:style w:type="paragraph" w:styleId="TOC3">
    <w:name w:val="toc 3"/>
    <w:basedOn w:val="Normal"/>
    <w:next w:val="Normal"/>
    <w:autoRedefine/>
    <w:uiPriority w:val="39"/>
    <w:unhideWhenUsed/>
    <w:rsid w:val="007562D9"/>
    <w:pPr>
      <w:tabs>
        <w:tab w:val="left" w:pos="-3600"/>
        <w:tab w:val="right" w:leader="dot" w:pos="4860"/>
        <w:tab w:val="right" w:leader="dot" w:pos="6840"/>
      </w:tabs>
      <w:spacing w:after="100"/>
      <w:ind w:left="-3600" w:hanging="540"/>
    </w:pPr>
  </w:style>
  <w:style w:type="paragraph" w:styleId="TOC4">
    <w:name w:val="toc 4"/>
    <w:basedOn w:val="Normal"/>
    <w:next w:val="Normal"/>
    <w:autoRedefine/>
    <w:uiPriority w:val="39"/>
    <w:unhideWhenUsed/>
    <w:rsid w:val="003978DD"/>
    <w:pPr>
      <w:spacing w:after="100"/>
      <w:ind w:left="660"/>
    </w:pPr>
  </w:style>
  <w:style w:type="character" w:styleId="LineNumber">
    <w:name w:val="line number"/>
    <w:basedOn w:val="DefaultParagraphFont"/>
    <w:uiPriority w:val="99"/>
    <w:semiHidden/>
    <w:unhideWhenUsed/>
    <w:rsid w:val="003978DD"/>
  </w:style>
  <w:style w:type="character" w:customStyle="1" w:styleId="Heading6Char">
    <w:name w:val="Heading 6 Char"/>
    <w:basedOn w:val="DefaultParagraphFont"/>
    <w:link w:val="Heading6"/>
    <w:uiPriority w:val="9"/>
    <w:rsid w:val="00620347"/>
    <w:rPr>
      <w:rFonts w:ascii="Tahoma" w:eastAsiaTheme="majorEastAsia" w:hAnsi="Tahoma" w:cstheme="majorBidi"/>
      <w:b/>
      <w:i/>
      <w:iCs/>
      <w:sz w:val="36"/>
      <w:szCs w:val="22"/>
      <w:lang w:val="en-US" w:eastAsia="en-US"/>
    </w:rPr>
  </w:style>
  <w:style w:type="paragraph" w:styleId="TOC2">
    <w:name w:val="toc 2"/>
    <w:basedOn w:val="Normal"/>
    <w:next w:val="Normal"/>
    <w:autoRedefine/>
    <w:uiPriority w:val="39"/>
    <w:unhideWhenUsed/>
    <w:rsid w:val="007562D9"/>
    <w:pPr>
      <w:tabs>
        <w:tab w:val="left" w:pos="-3780"/>
        <w:tab w:val="right" w:leader="dot" w:pos="4860"/>
        <w:tab w:val="right" w:leader="dot" w:pos="9350"/>
      </w:tabs>
      <w:spacing w:line="360" w:lineRule="auto"/>
      <w:ind w:left="-3780" w:hanging="360"/>
    </w:pPr>
    <w:rPr>
      <w:b/>
    </w:rPr>
  </w:style>
  <w:style w:type="paragraph" w:styleId="TableofFigures">
    <w:name w:val="table of figures"/>
    <w:basedOn w:val="Normal"/>
    <w:next w:val="Normal"/>
    <w:uiPriority w:val="99"/>
    <w:unhideWhenUsed/>
    <w:rsid w:val="00F041E7"/>
  </w:style>
  <w:style w:type="paragraph" w:styleId="TOC6">
    <w:name w:val="toc 6"/>
    <w:basedOn w:val="Normal"/>
    <w:next w:val="Normal"/>
    <w:autoRedefine/>
    <w:uiPriority w:val="39"/>
    <w:unhideWhenUsed/>
    <w:rsid w:val="00EE26CC"/>
    <w:pPr>
      <w:tabs>
        <w:tab w:val="right" w:leader="dot" w:pos="4850"/>
      </w:tabs>
      <w:spacing w:after="100"/>
      <w:ind w:left="-4500"/>
    </w:pPr>
    <w:rPr>
      <w:b/>
    </w:rPr>
  </w:style>
  <w:style w:type="paragraph" w:styleId="BodyText">
    <w:name w:val="Body Text"/>
    <w:basedOn w:val="Normal"/>
    <w:link w:val="BodyTextChar"/>
    <w:uiPriority w:val="99"/>
    <w:semiHidden/>
    <w:unhideWhenUsed/>
    <w:rsid w:val="003257F9"/>
    <w:pPr>
      <w:spacing w:after="120" w:line="276" w:lineRule="auto"/>
      <w:jc w:val="left"/>
    </w:pPr>
    <w:rPr>
      <w:rFonts w:ascii="Calibri" w:hAnsi="Calibri"/>
    </w:rPr>
  </w:style>
  <w:style w:type="character" w:customStyle="1" w:styleId="BodyTextChar">
    <w:name w:val="Body Text Char"/>
    <w:basedOn w:val="DefaultParagraphFont"/>
    <w:link w:val="BodyText"/>
    <w:uiPriority w:val="99"/>
    <w:semiHidden/>
    <w:rsid w:val="003257F9"/>
    <w:rPr>
      <w:sz w:val="22"/>
      <w:szCs w:val="22"/>
      <w:lang w:val="en-US" w:eastAsia="en-US"/>
    </w:rPr>
  </w:style>
  <w:style w:type="paragraph" w:styleId="BodyTextFirstIndent">
    <w:name w:val="Body Text First Indent"/>
    <w:basedOn w:val="BodyText"/>
    <w:link w:val="BodyTextFirstIndentChar"/>
    <w:uiPriority w:val="99"/>
    <w:unhideWhenUsed/>
    <w:rsid w:val="00B2375B"/>
    <w:pPr>
      <w:spacing w:after="0" w:line="240" w:lineRule="auto"/>
      <w:ind w:firstLine="360"/>
      <w:jc w:val="both"/>
    </w:pPr>
    <w:rPr>
      <w:rFonts w:ascii="Tahoma" w:hAnsi="Tahoma"/>
    </w:rPr>
  </w:style>
  <w:style w:type="character" w:customStyle="1" w:styleId="BodyTextFirstIndentChar">
    <w:name w:val="Body Text First Indent Char"/>
    <w:basedOn w:val="BodyTextChar"/>
    <w:link w:val="BodyTextFirstIndent"/>
    <w:uiPriority w:val="99"/>
    <w:rsid w:val="00B2375B"/>
    <w:rPr>
      <w:rFonts w:ascii="Tahoma" w:hAnsi="Tahoma"/>
    </w:rPr>
  </w:style>
  <w:style w:type="paragraph" w:styleId="Quote">
    <w:name w:val="Quote"/>
    <w:basedOn w:val="Normal"/>
    <w:next w:val="Normal"/>
    <w:link w:val="QuoteChar"/>
    <w:uiPriority w:val="29"/>
    <w:qFormat/>
    <w:rsid w:val="008E6D94"/>
    <w:rPr>
      <w:i/>
      <w:iCs/>
      <w:color w:val="000000" w:themeColor="text1"/>
    </w:rPr>
  </w:style>
  <w:style w:type="character" w:customStyle="1" w:styleId="QuoteChar">
    <w:name w:val="Quote Char"/>
    <w:basedOn w:val="DefaultParagraphFont"/>
    <w:link w:val="Quote"/>
    <w:uiPriority w:val="29"/>
    <w:rsid w:val="008E6D94"/>
    <w:rPr>
      <w:rFonts w:ascii="Tahoma" w:hAnsi="Tahoma"/>
      <w:i/>
      <w:iCs/>
      <w:color w:val="000000" w:themeColor="text1"/>
      <w:sz w:val="22"/>
      <w:szCs w:val="22"/>
      <w:lang w:val="en-US" w:eastAsia="en-US"/>
    </w:rPr>
  </w:style>
  <w:style w:type="paragraph" w:customStyle="1" w:styleId="Default">
    <w:name w:val="Default"/>
    <w:rsid w:val="00BD2F10"/>
    <w:pPr>
      <w:autoSpaceDE w:val="0"/>
      <w:autoSpaceDN w:val="0"/>
      <w:adjustRightInd w:val="0"/>
      <w:jc w:val="left"/>
    </w:pPr>
    <w:rPr>
      <w:rFonts w:ascii="Tahoma" w:hAnsi="Tahoma" w:cs="Tahoma"/>
      <w:color w:val="000000"/>
      <w:sz w:val="24"/>
      <w:szCs w:val="24"/>
      <w:lang w:val="en-US"/>
    </w:rPr>
  </w:style>
  <w:style w:type="character" w:customStyle="1" w:styleId="Heading7Char">
    <w:name w:val="Heading 7 Char"/>
    <w:basedOn w:val="DefaultParagraphFont"/>
    <w:link w:val="Heading7"/>
    <w:uiPriority w:val="9"/>
    <w:rsid w:val="00BD2F10"/>
    <w:rPr>
      <w:rFonts w:ascii="Tahoma" w:eastAsiaTheme="majorEastAsia" w:hAnsi="Tahoma" w:cs="Tahoma"/>
      <w:b/>
      <w:i/>
      <w:iCs/>
      <w:color w:val="404040" w:themeColor="text1" w:themeTint="BF"/>
      <w:sz w:val="32"/>
      <w:szCs w:val="32"/>
      <w:lang w:val="en-US" w:eastAsia="en-US"/>
    </w:rPr>
  </w:style>
  <w:style w:type="paragraph" w:styleId="TOC7">
    <w:name w:val="toc 7"/>
    <w:basedOn w:val="Normal"/>
    <w:next w:val="Normal"/>
    <w:autoRedefine/>
    <w:uiPriority w:val="39"/>
    <w:unhideWhenUsed/>
    <w:rsid w:val="00B61C5C"/>
    <w:pPr>
      <w:tabs>
        <w:tab w:val="right" w:leader="dot" w:pos="4850"/>
      </w:tabs>
      <w:spacing w:after="100"/>
      <w:ind w:left="-4536"/>
    </w:pPr>
    <w:rPr>
      <w:b/>
      <w:noProof/>
    </w:rPr>
  </w:style>
</w:styles>
</file>

<file path=word/webSettings.xml><?xml version="1.0" encoding="utf-8"?>
<w:webSettings xmlns:r="http://schemas.openxmlformats.org/officeDocument/2006/relationships" xmlns:w="http://schemas.openxmlformats.org/wordprocessingml/2006/main">
  <w:divs>
    <w:div w:id="156383843">
      <w:bodyDiv w:val="1"/>
      <w:marLeft w:val="0"/>
      <w:marRight w:val="0"/>
      <w:marTop w:val="0"/>
      <w:marBottom w:val="0"/>
      <w:divBdr>
        <w:top w:val="none" w:sz="0" w:space="0" w:color="auto"/>
        <w:left w:val="none" w:sz="0" w:space="0" w:color="auto"/>
        <w:bottom w:val="none" w:sz="0" w:space="0" w:color="auto"/>
        <w:right w:val="none" w:sz="0" w:space="0" w:color="auto"/>
      </w:divBdr>
    </w:div>
    <w:div w:id="382488286">
      <w:bodyDiv w:val="1"/>
      <w:marLeft w:val="0"/>
      <w:marRight w:val="0"/>
      <w:marTop w:val="0"/>
      <w:marBottom w:val="0"/>
      <w:divBdr>
        <w:top w:val="none" w:sz="0" w:space="0" w:color="auto"/>
        <w:left w:val="none" w:sz="0" w:space="0" w:color="auto"/>
        <w:bottom w:val="none" w:sz="0" w:space="0" w:color="auto"/>
        <w:right w:val="none" w:sz="0" w:space="0" w:color="auto"/>
      </w:divBdr>
    </w:div>
    <w:div w:id="1010067072">
      <w:bodyDiv w:val="1"/>
      <w:marLeft w:val="0"/>
      <w:marRight w:val="0"/>
      <w:marTop w:val="0"/>
      <w:marBottom w:val="0"/>
      <w:divBdr>
        <w:top w:val="none" w:sz="0" w:space="0" w:color="auto"/>
        <w:left w:val="none" w:sz="0" w:space="0" w:color="auto"/>
        <w:bottom w:val="none" w:sz="0" w:space="0" w:color="auto"/>
        <w:right w:val="none" w:sz="0" w:space="0" w:color="auto"/>
      </w:divBdr>
      <w:divsChild>
        <w:div w:id="1524248918">
          <w:marLeft w:val="0"/>
          <w:marRight w:val="0"/>
          <w:marTop w:val="0"/>
          <w:marBottom w:val="0"/>
          <w:divBdr>
            <w:top w:val="none" w:sz="0" w:space="0" w:color="auto"/>
            <w:left w:val="none" w:sz="0" w:space="0" w:color="auto"/>
            <w:bottom w:val="none" w:sz="0" w:space="0" w:color="auto"/>
            <w:right w:val="none" w:sz="0" w:space="0" w:color="auto"/>
          </w:divBdr>
          <w:divsChild>
            <w:div w:id="645234225">
              <w:marLeft w:val="0"/>
              <w:marRight w:val="0"/>
              <w:marTop w:val="0"/>
              <w:marBottom w:val="0"/>
              <w:divBdr>
                <w:top w:val="none" w:sz="0" w:space="0" w:color="auto"/>
                <w:left w:val="none" w:sz="0" w:space="0" w:color="auto"/>
                <w:bottom w:val="none" w:sz="0" w:space="0" w:color="auto"/>
                <w:right w:val="none" w:sz="0" w:space="0" w:color="auto"/>
              </w:divBdr>
              <w:divsChild>
                <w:div w:id="1136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7883">
      <w:bodyDiv w:val="1"/>
      <w:marLeft w:val="0"/>
      <w:marRight w:val="0"/>
      <w:marTop w:val="0"/>
      <w:marBottom w:val="0"/>
      <w:divBdr>
        <w:top w:val="none" w:sz="0" w:space="0" w:color="auto"/>
        <w:left w:val="none" w:sz="0" w:space="0" w:color="auto"/>
        <w:bottom w:val="none" w:sz="0" w:space="0" w:color="auto"/>
        <w:right w:val="none" w:sz="0" w:space="0" w:color="auto"/>
      </w:divBdr>
    </w:div>
    <w:div w:id="1721856812">
      <w:bodyDiv w:val="1"/>
      <w:marLeft w:val="0"/>
      <w:marRight w:val="0"/>
      <w:marTop w:val="0"/>
      <w:marBottom w:val="0"/>
      <w:divBdr>
        <w:top w:val="none" w:sz="0" w:space="0" w:color="auto"/>
        <w:left w:val="none" w:sz="0" w:space="0" w:color="auto"/>
        <w:bottom w:val="none" w:sz="0" w:space="0" w:color="auto"/>
        <w:right w:val="none" w:sz="0" w:space="0" w:color="auto"/>
      </w:divBdr>
    </w:div>
    <w:div w:id="2077313175">
      <w:bodyDiv w:val="1"/>
      <w:marLeft w:val="0"/>
      <w:marRight w:val="0"/>
      <w:marTop w:val="0"/>
      <w:marBottom w:val="0"/>
      <w:divBdr>
        <w:top w:val="none" w:sz="0" w:space="0" w:color="auto"/>
        <w:left w:val="none" w:sz="0" w:space="0" w:color="auto"/>
        <w:bottom w:val="none" w:sz="0" w:space="0" w:color="auto"/>
        <w:right w:val="none" w:sz="0" w:space="0" w:color="auto"/>
      </w:divBdr>
      <w:divsChild>
        <w:div w:id="492449555">
          <w:marLeft w:val="0"/>
          <w:marRight w:val="0"/>
          <w:marTop w:val="0"/>
          <w:marBottom w:val="0"/>
          <w:divBdr>
            <w:top w:val="none" w:sz="0" w:space="0" w:color="auto"/>
            <w:left w:val="none" w:sz="0" w:space="0" w:color="auto"/>
            <w:bottom w:val="none" w:sz="0" w:space="0" w:color="auto"/>
            <w:right w:val="none" w:sz="0" w:space="0" w:color="auto"/>
          </w:divBdr>
          <w:divsChild>
            <w:div w:id="326255011">
              <w:marLeft w:val="0"/>
              <w:marRight w:val="0"/>
              <w:marTop w:val="0"/>
              <w:marBottom w:val="0"/>
              <w:divBdr>
                <w:top w:val="none" w:sz="0" w:space="0" w:color="auto"/>
                <w:left w:val="none" w:sz="0" w:space="0" w:color="auto"/>
                <w:bottom w:val="none" w:sz="0" w:space="0" w:color="auto"/>
                <w:right w:val="none" w:sz="0" w:space="0" w:color="auto"/>
              </w:divBdr>
              <w:divsChild>
                <w:div w:id="1239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wmf"/><Relationship Id="rId76" Type="http://schemas.openxmlformats.org/officeDocument/2006/relationships/image" Target="media/image67.wmf"/><Relationship Id="rId84" Type="http://schemas.openxmlformats.org/officeDocument/2006/relationships/image" Target="media/image75.wmf"/><Relationship Id="rId89"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3.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74" Type="http://schemas.openxmlformats.org/officeDocument/2006/relationships/image" Target="media/image65.wmf"/><Relationship Id="rId79" Type="http://schemas.openxmlformats.org/officeDocument/2006/relationships/image" Target="media/image70.wmf"/><Relationship Id="rId87" Type="http://schemas.openxmlformats.org/officeDocument/2006/relationships/image" Target="media/image78.wmf"/><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image" Target="media/image73.wmf"/><Relationship Id="rId90" Type="http://schemas.openxmlformats.org/officeDocument/2006/relationships/image" Target="media/image81.wmf"/><Relationship Id="rId19" Type="http://schemas.openxmlformats.org/officeDocument/2006/relationships/image" Target="media/image10.wmf"/><Relationship Id="rId14" Type="http://schemas.openxmlformats.org/officeDocument/2006/relationships/image" Target="media/image4.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8.wmf"/><Relationship Id="rId8" Type="http://schemas.openxmlformats.org/officeDocument/2006/relationships/header" Target="header1.xml"/><Relationship Id="rId51" Type="http://schemas.openxmlformats.org/officeDocument/2006/relationships/image" Target="media/image42.wmf"/><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image" Target="media/image76.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image" Target="media/image79.wmf"/><Relationship Id="rId91"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3E38A-E66E-47C6-8237-B400648E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9910</Words>
  <Characters>56490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НАРОДНА БАНКА НА РЕПУБЛИКА МАКЕДОНИЈА</vt:lpstr>
    </vt:vector>
  </TitlesOfParts>
  <Company>Narodna Banka na RM</Company>
  <LinksUpToDate>false</LinksUpToDate>
  <CharactersWithSpaces>66268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НА РЕПУБЛИКА МАКЕДОНИЈА</dc:title>
  <dc:creator>Tatjana Sokolova</dc:creator>
  <cp:lastModifiedBy>NBRM</cp:lastModifiedBy>
  <cp:revision>6</cp:revision>
  <cp:lastPrinted>2013-07-22T14:38:00Z</cp:lastPrinted>
  <dcterms:created xsi:type="dcterms:W3CDTF">2013-08-01T10:45:00Z</dcterms:created>
  <dcterms:modified xsi:type="dcterms:W3CDTF">2013-12-19T11:14:00Z</dcterms:modified>
</cp:coreProperties>
</file>